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A24B95" w:rsidRPr="00A01DEE" w:rsidRDefault="00C56BAF" w:rsidP="00A24B95">
      <w:pPr>
        <w:pStyle w:val="CRCoverPage"/>
        <w:tabs>
          <w:tab w:val="right" w:pos="9639"/>
        </w:tabs>
        <w:spacing w:after="0"/>
        <w:rPr>
          <w:b/>
          <w:noProof/>
          <w:sz w:val="24"/>
          <w:szCs w:val="24"/>
          <w:lang w:eastAsia="ko-KR"/>
        </w:rPr>
      </w:pPr>
      <w:bookmarkStart w:id="0" w:name="OLE_LINK2"/>
      <w:bookmarkStart w:id="1" w:name="OLE_LINK1"/>
      <w:r w:rsidRPr="00C56BAF">
        <w:rPr>
          <w:b/>
          <w:sz w:val="24"/>
          <w:szCs w:val="24"/>
        </w:rPr>
        <w:t>3GPP TSG RAN WG1 #104-e</w:t>
      </w:r>
      <w:r w:rsidR="00A24B95" w:rsidRPr="006E473F">
        <w:rPr>
          <w:rFonts w:hint="eastAsia"/>
          <w:b/>
          <w:sz w:val="24"/>
          <w:szCs w:val="24"/>
          <w:lang w:eastAsia="ko-KR"/>
        </w:rPr>
        <w:tab/>
      </w:r>
      <w:r w:rsidR="00570B35" w:rsidRPr="00570B35">
        <w:rPr>
          <w:b/>
          <w:sz w:val="24"/>
          <w:szCs w:val="24"/>
          <w:lang w:eastAsia="ko-KR"/>
        </w:rPr>
        <w:t>R1-</w:t>
      </w:r>
      <w:r w:rsidR="00726BE5">
        <w:rPr>
          <w:b/>
          <w:sz w:val="24"/>
          <w:szCs w:val="24"/>
          <w:lang w:eastAsia="ko-KR"/>
        </w:rPr>
        <w:t>21</w:t>
      </w:r>
      <w:r w:rsidR="009371B4">
        <w:rPr>
          <w:b/>
          <w:sz w:val="24"/>
          <w:szCs w:val="24"/>
          <w:lang w:eastAsia="ko-KR"/>
        </w:rPr>
        <w:t>0049</w:t>
      </w:r>
      <w:r w:rsidR="00E13E52">
        <w:rPr>
          <w:b/>
          <w:sz w:val="24"/>
          <w:szCs w:val="24"/>
          <w:lang w:eastAsia="ko-KR"/>
        </w:rPr>
        <w:t>4</w:t>
      </w:r>
      <w:bookmarkStart w:id="2" w:name="_GoBack"/>
      <w:bookmarkEnd w:id="2"/>
    </w:p>
    <w:bookmarkEnd w:id="0"/>
    <w:p w:rsidR="007A57E2" w:rsidRPr="005E0AC4" w:rsidRDefault="00C56BAF" w:rsidP="00A24B95">
      <w:pPr>
        <w:pStyle w:val="a4"/>
        <w:spacing w:after="240"/>
        <w:rPr>
          <w:rFonts w:eastAsia="Malgun Gothic"/>
          <w:noProof w:val="0"/>
          <w:color w:val="000000"/>
          <w:sz w:val="24"/>
          <w:szCs w:val="24"/>
          <w:lang w:val="en-US" w:eastAsia="ko-KR"/>
        </w:rPr>
      </w:pPr>
      <w:r w:rsidRPr="00C56BAF">
        <w:rPr>
          <w:rFonts w:cs="Arial"/>
          <w:bCs/>
          <w:sz w:val="24"/>
          <w:szCs w:val="24"/>
        </w:rPr>
        <w:t>e-Meeting, January 25</w:t>
      </w:r>
      <w:r w:rsidRPr="00C56BAF">
        <w:rPr>
          <w:rFonts w:cs="Arial"/>
          <w:bCs/>
          <w:sz w:val="24"/>
          <w:szCs w:val="24"/>
          <w:vertAlign w:val="superscript"/>
        </w:rPr>
        <w:t>th</w:t>
      </w:r>
      <w:r w:rsidRPr="00C56BAF">
        <w:rPr>
          <w:rFonts w:cs="Arial"/>
          <w:bCs/>
          <w:sz w:val="24"/>
          <w:szCs w:val="24"/>
        </w:rPr>
        <w:t xml:space="preserve"> – February 5</w:t>
      </w:r>
      <w:r w:rsidRPr="00C56BAF">
        <w:rPr>
          <w:rFonts w:cs="Arial"/>
          <w:bCs/>
          <w:sz w:val="24"/>
          <w:szCs w:val="24"/>
          <w:vertAlign w:val="superscript"/>
        </w:rPr>
        <w:t>th</w:t>
      </w:r>
      <w:r w:rsidRPr="00C56BAF">
        <w:rPr>
          <w:rFonts w:cs="Arial"/>
          <w:bCs/>
          <w:sz w:val="24"/>
          <w:szCs w:val="24"/>
        </w:rPr>
        <w:t>, 2021</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726BE5">
        <w:rPr>
          <w:rFonts w:ascii="Arial" w:hAnsi="Arial"/>
          <w:color w:val="000000"/>
          <w:sz w:val="24"/>
          <w:szCs w:val="24"/>
        </w:rPr>
        <w:t>8.15</w:t>
      </w:r>
      <w:r w:rsidR="003551AB">
        <w:rPr>
          <w:rFonts w:ascii="Arial" w:hAnsi="Arial"/>
          <w:color w:val="000000"/>
          <w:sz w:val="24"/>
          <w:szCs w:val="24"/>
        </w:rPr>
        <w:t>.</w:t>
      </w:r>
      <w:r w:rsidR="006613B5">
        <w:rPr>
          <w:rFonts w:ascii="Arial" w:hAnsi="Arial"/>
          <w:color w:val="000000"/>
          <w:sz w:val="24"/>
          <w:szCs w:val="24"/>
        </w:rPr>
        <w:t>1</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726BE5">
        <w:rPr>
          <w:rFonts w:ascii="Arial" w:hAnsi="Arial"/>
          <w:color w:val="000000"/>
          <w:sz w:val="24"/>
        </w:rPr>
        <w:t>Zhejiang Lab</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726BE5" w:rsidRPr="00726BE5">
        <w:rPr>
          <w:rFonts w:ascii="Arial" w:eastAsia="Malgun Gothic" w:hAnsi="Arial"/>
          <w:color w:val="000000"/>
          <w:sz w:val="24"/>
        </w:rPr>
        <w:t>Scenarios applicable to NB-IoT/</w:t>
      </w:r>
      <w:proofErr w:type="spellStart"/>
      <w:r w:rsidR="00726BE5" w:rsidRPr="00726BE5">
        <w:rPr>
          <w:rFonts w:ascii="Arial" w:eastAsia="Malgun Gothic" w:hAnsi="Arial"/>
          <w:color w:val="000000"/>
          <w:sz w:val="24"/>
        </w:rPr>
        <w:t>eMTC</w:t>
      </w:r>
      <w:proofErr w:type="spellEnd"/>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rsidR="00096F2F" w:rsidRDefault="00C56BAF" w:rsidP="00FB3C8E">
      <w:pPr>
        <w:wordWrap/>
        <w:spacing w:before="60" w:after="60" w:line="288" w:lineRule="auto"/>
        <w:ind w:firstLine="284"/>
        <w:jc w:val="both"/>
        <w:rPr>
          <w:rFonts w:eastAsia="Malgun Gothic"/>
          <w:color w:val="000000"/>
        </w:rPr>
      </w:pPr>
      <w:r>
        <w:rPr>
          <w:rFonts w:eastAsia="Malgun Gothic"/>
          <w:color w:val="000000"/>
        </w:rPr>
        <w:t>A n</w:t>
      </w:r>
      <w:r w:rsidRPr="00C56BAF">
        <w:rPr>
          <w:rFonts w:eastAsia="Malgun Gothic"/>
          <w:color w:val="000000"/>
        </w:rPr>
        <w:t xml:space="preserve">ew </w:t>
      </w:r>
      <w:r>
        <w:rPr>
          <w:rFonts w:eastAsia="Malgun Gothic"/>
          <w:color w:val="000000"/>
        </w:rPr>
        <w:t>s</w:t>
      </w:r>
      <w:r w:rsidRPr="00C56BAF">
        <w:rPr>
          <w:rFonts w:eastAsia="Malgun Gothic"/>
          <w:color w:val="000000"/>
        </w:rPr>
        <w:t>tudy WID on NB-IoT/</w:t>
      </w:r>
      <w:proofErr w:type="spellStart"/>
      <w:r w:rsidRPr="00C56BAF">
        <w:rPr>
          <w:rFonts w:eastAsia="Malgun Gothic"/>
          <w:color w:val="000000"/>
        </w:rPr>
        <w:t>eTMC</w:t>
      </w:r>
      <w:proofErr w:type="spellEnd"/>
      <w:r w:rsidRPr="00C56BAF">
        <w:rPr>
          <w:rFonts w:eastAsia="Malgun Gothic"/>
          <w:color w:val="000000"/>
        </w:rPr>
        <w:t xml:space="preserve"> support for NTN</w:t>
      </w:r>
      <w:r>
        <w:rPr>
          <w:rFonts w:eastAsia="Malgun Gothic"/>
          <w:color w:val="000000"/>
        </w:rPr>
        <w:t xml:space="preserve"> has been</w:t>
      </w:r>
      <w:r w:rsidR="008D2346">
        <w:rPr>
          <w:rFonts w:eastAsia="Malgun Gothic"/>
          <w:color w:val="000000"/>
        </w:rPr>
        <w:t xml:space="preserve"> approved in RAN#8</w:t>
      </w:r>
      <w:r>
        <w:rPr>
          <w:rFonts w:eastAsia="Malgun Gothic"/>
          <w:color w:val="000000"/>
        </w:rPr>
        <w:t>6</w:t>
      </w:r>
      <w:r w:rsidR="008D2346">
        <w:rPr>
          <w:rFonts w:eastAsia="Malgun Gothic"/>
          <w:color w:val="000000"/>
        </w:rPr>
        <w:t xml:space="preserve"> and </w:t>
      </w:r>
      <w:r w:rsidR="00FB3C8E">
        <w:rPr>
          <w:rFonts w:eastAsia="Malgun Gothic"/>
          <w:color w:val="000000"/>
        </w:rPr>
        <w:t>t</w:t>
      </w:r>
      <w:r w:rsidR="00096F2F">
        <w:rPr>
          <w:rFonts w:eastAsia="Malgun Gothic"/>
          <w:color w:val="000000"/>
        </w:rPr>
        <w:t xml:space="preserve">he following </w:t>
      </w:r>
      <w:r>
        <w:rPr>
          <w:rFonts w:eastAsia="Malgun Gothic"/>
          <w:color w:val="000000"/>
        </w:rPr>
        <w:t>objectives were proposed for RAN1</w:t>
      </w:r>
      <w:r w:rsidR="00E5005C">
        <w:rPr>
          <w:rFonts w:eastAsia="Malgun Gothic"/>
          <w:color w:val="000000"/>
        </w:rPr>
        <w:t xml:space="preserve"> in [1]</w:t>
      </w:r>
      <w:r>
        <w:rPr>
          <w:rFonts w:eastAsia="Malgun Gothic"/>
          <w:color w:val="000000"/>
        </w:rPr>
        <w:t>,</w:t>
      </w:r>
    </w:p>
    <w:p w:rsidR="00E5005C" w:rsidRDefault="00E5005C" w:rsidP="00E5005C">
      <w:pPr>
        <w:pStyle w:val="B1"/>
        <w:spacing w:after="240"/>
      </w:pPr>
      <w:r>
        <w:t>-</w:t>
      </w:r>
      <w:r>
        <w:tab/>
        <w:t>Bands of interest in sub 6 GHz</w:t>
      </w:r>
    </w:p>
    <w:p w:rsidR="00E5005C" w:rsidRDefault="00E5005C" w:rsidP="00E5005C">
      <w:pPr>
        <w:pStyle w:val="B1"/>
        <w:spacing w:after="240"/>
      </w:pPr>
      <w:r>
        <w:t>-</w:t>
      </w:r>
      <w:r>
        <w:tab/>
        <w:t xml:space="preserve">Device type with PC3 or PC5 (LEO and GEO) </w:t>
      </w:r>
    </w:p>
    <w:p w:rsidR="00E5005C" w:rsidRDefault="00E5005C" w:rsidP="00E5005C">
      <w:pPr>
        <w:pStyle w:val="B1"/>
        <w:spacing w:after="240"/>
      </w:pPr>
      <w:r>
        <w:t>-</w:t>
      </w:r>
      <w:r>
        <w:tab/>
        <w:t xml:space="preserve">Satellite constellation orbit LEO and GEO </w:t>
      </w:r>
    </w:p>
    <w:p w:rsidR="00E5005C" w:rsidRDefault="00E5005C" w:rsidP="00E5005C">
      <w:pPr>
        <w:pStyle w:val="B1"/>
        <w:spacing w:after="240"/>
      </w:pPr>
      <w:r>
        <w:t>-</w:t>
      </w:r>
      <w:r>
        <w:tab/>
        <w:t>Transparent payload.</w:t>
      </w:r>
    </w:p>
    <w:p w:rsidR="00E5005C" w:rsidRDefault="00E5005C" w:rsidP="00E5005C">
      <w:pPr>
        <w:pStyle w:val="B1"/>
        <w:spacing w:after="240"/>
      </w:pPr>
      <w:r>
        <w:t>-</w:t>
      </w:r>
      <w:r>
        <w:tab/>
        <w:t>Link budget</w:t>
      </w:r>
    </w:p>
    <w:p w:rsidR="00E5005C" w:rsidRDefault="00E5005C" w:rsidP="00E5005C">
      <w:pPr>
        <w:pStyle w:val="B1"/>
        <w:spacing w:after="240"/>
      </w:pPr>
      <w:r>
        <w:t>-</w:t>
      </w:r>
      <w:r>
        <w:tab/>
        <w:t>Aspects related to random access procedure/signals [RAN1, RAN2]</w:t>
      </w:r>
    </w:p>
    <w:p w:rsidR="00E5005C" w:rsidRDefault="00E5005C" w:rsidP="00E5005C">
      <w:pPr>
        <w:pStyle w:val="B1"/>
        <w:spacing w:after="240"/>
      </w:pPr>
      <w:r>
        <w:t>-</w:t>
      </w:r>
      <w:r>
        <w:tab/>
        <w:t>Mechanisms for time/frequency adjustment including Timing Advance, and UL frequency compensation indication [RAN1, RAN2]</w:t>
      </w:r>
    </w:p>
    <w:p w:rsidR="00E5005C" w:rsidRDefault="00E5005C" w:rsidP="00E5005C">
      <w:pPr>
        <w:pStyle w:val="B1"/>
        <w:spacing w:after="240"/>
      </w:pPr>
      <w:r>
        <w:t>-</w:t>
      </w:r>
      <w:r>
        <w:tab/>
        <w:t>Timing offset related to scheduling and HARQ-ACK feedback [RAN1, RAN2]</w:t>
      </w:r>
    </w:p>
    <w:p w:rsidR="00E5005C" w:rsidRDefault="00E5005C" w:rsidP="00E5005C">
      <w:pPr>
        <w:pStyle w:val="B1"/>
        <w:spacing w:after="240"/>
      </w:pPr>
      <w:r>
        <w:t>-    Aspects related to HARQ operation [RAN2, RAN1]</w:t>
      </w:r>
    </w:p>
    <w:p w:rsidR="00274730" w:rsidRPr="00274730" w:rsidRDefault="00E5005C" w:rsidP="00E5005C">
      <w:pPr>
        <w:wordWrap/>
        <w:spacing w:before="60" w:after="60" w:line="288" w:lineRule="auto"/>
        <w:ind w:firstLine="284"/>
        <w:jc w:val="both"/>
        <w:rPr>
          <w:lang w:val="en-GB"/>
        </w:rPr>
      </w:pPr>
      <w:r>
        <w:rPr>
          <w:rFonts w:eastAsia="Malgun Gothic"/>
          <w:color w:val="000000"/>
        </w:rPr>
        <w:t xml:space="preserve">During RAN1#103e, some agreements for scenarios have been made in [2] as shown in the Appendix, where the main deployment scenarios and parameters have been agreed. In this contribution, we discuss the remaining issues for </w:t>
      </w:r>
      <w:r w:rsidRPr="00E5005C">
        <w:rPr>
          <w:rFonts w:eastAsia="Malgun Gothic"/>
          <w:color w:val="000000"/>
        </w:rPr>
        <w:t>Scenarios applicable to NB-IoT/</w:t>
      </w:r>
      <w:proofErr w:type="spellStart"/>
      <w:r w:rsidRPr="00E5005C">
        <w:rPr>
          <w:rFonts w:eastAsia="Malgun Gothic"/>
          <w:color w:val="000000"/>
        </w:rPr>
        <w:t>eMTC</w:t>
      </w:r>
      <w:proofErr w:type="spellEnd"/>
      <w:r>
        <w:rPr>
          <w:rFonts w:eastAsia="Malgun Gothic"/>
          <w:color w:val="000000"/>
        </w:rPr>
        <w:t>.</w:t>
      </w:r>
    </w:p>
    <w:p w:rsidR="00DC5A99" w:rsidRDefault="009F032B" w:rsidP="000D1B7E">
      <w:pPr>
        <w:pStyle w:val="1"/>
        <w:spacing w:after="240"/>
        <w:ind w:left="431" w:hanging="431"/>
      </w:pPr>
      <w:r>
        <w:t>Discussion</w:t>
      </w:r>
    </w:p>
    <w:p w:rsidR="00B12B0F" w:rsidRDefault="009F032B" w:rsidP="00096F2F">
      <w:pPr>
        <w:pStyle w:val="2"/>
      </w:pPr>
      <w:r>
        <w:t>Evaluation metrics</w:t>
      </w:r>
    </w:p>
    <w:p w:rsidR="00412163" w:rsidRDefault="00BC6456" w:rsidP="00051C8E">
      <w:pPr>
        <w:wordWrap/>
        <w:spacing w:before="60" w:after="60" w:line="288" w:lineRule="auto"/>
        <w:ind w:firstLine="284"/>
        <w:jc w:val="both"/>
      </w:pPr>
      <w:r w:rsidRPr="00BC6456">
        <w:t xml:space="preserve">The proliferation of </w:t>
      </w:r>
      <w:r w:rsidR="00C113DB">
        <w:t>IoT</w:t>
      </w:r>
      <w:r w:rsidRPr="00BC6456">
        <w:t xml:space="preserve"> devices that support a wide range of applications and services has driven the </w:t>
      </w:r>
      <w:r w:rsidR="00C113DB">
        <w:t xml:space="preserve">development of 5G and beyond networks </w:t>
      </w:r>
      <w:r w:rsidRPr="00BC6456">
        <w:t xml:space="preserve">to an unprecedented level, requiring </w:t>
      </w:r>
      <w:r w:rsidR="00C113DB">
        <w:t xml:space="preserve">massive connectivity, wide coverage and lower power consumption. </w:t>
      </w:r>
      <w:r w:rsidR="00412163">
        <w:t>In [1], a variety of industries have been identified for the application of IoT devices as follows,</w:t>
      </w:r>
    </w:p>
    <w:p w:rsidR="00412163" w:rsidRDefault="00412163" w:rsidP="00412163">
      <w:pPr>
        <w:wordWrap/>
        <w:spacing w:before="60" w:after="60" w:line="288" w:lineRule="auto"/>
        <w:ind w:firstLine="284"/>
        <w:jc w:val="both"/>
      </w:pPr>
      <w:r>
        <w:t>-</w:t>
      </w:r>
      <w:r>
        <w:tab/>
        <w:t>Transportation (maritime, road, rail, air) &amp; logistics</w:t>
      </w:r>
    </w:p>
    <w:p w:rsidR="00412163" w:rsidRDefault="00412163" w:rsidP="00412163">
      <w:pPr>
        <w:wordWrap/>
        <w:spacing w:before="60" w:after="60" w:line="288" w:lineRule="auto"/>
        <w:ind w:firstLine="284"/>
        <w:jc w:val="both"/>
      </w:pPr>
      <w:r>
        <w:t>-</w:t>
      </w:r>
      <w:r>
        <w:tab/>
        <w:t>Solar, oil &amp; gas harvesting</w:t>
      </w:r>
    </w:p>
    <w:p w:rsidR="00412163" w:rsidRDefault="00412163" w:rsidP="00412163">
      <w:pPr>
        <w:wordWrap/>
        <w:spacing w:before="60" w:after="60" w:line="288" w:lineRule="auto"/>
        <w:ind w:firstLine="284"/>
        <w:jc w:val="both"/>
      </w:pPr>
      <w:r>
        <w:t>-</w:t>
      </w:r>
      <w:r>
        <w:tab/>
        <w:t>Utilities</w:t>
      </w:r>
    </w:p>
    <w:p w:rsidR="00412163" w:rsidRDefault="00412163" w:rsidP="00412163">
      <w:pPr>
        <w:wordWrap/>
        <w:spacing w:before="60" w:after="60" w:line="288" w:lineRule="auto"/>
        <w:ind w:firstLine="284"/>
        <w:jc w:val="both"/>
      </w:pPr>
      <w:r>
        <w:t>-</w:t>
      </w:r>
      <w:r>
        <w:tab/>
        <w:t>Farming</w:t>
      </w:r>
    </w:p>
    <w:p w:rsidR="00412163" w:rsidRDefault="00412163" w:rsidP="00412163">
      <w:pPr>
        <w:wordWrap/>
        <w:spacing w:before="60" w:after="60" w:line="288" w:lineRule="auto"/>
        <w:ind w:firstLine="284"/>
        <w:jc w:val="both"/>
      </w:pPr>
      <w:r>
        <w:t>-</w:t>
      </w:r>
      <w:r>
        <w:tab/>
        <w:t>Environment monitoring</w:t>
      </w:r>
    </w:p>
    <w:p w:rsidR="00412163" w:rsidRDefault="00412163" w:rsidP="00412163">
      <w:pPr>
        <w:wordWrap/>
        <w:spacing w:before="60" w:after="60" w:line="288" w:lineRule="auto"/>
        <w:ind w:firstLine="284"/>
        <w:jc w:val="both"/>
      </w:pPr>
      <w:r>
        <w:t>-</w:t>
      </w:r>
      <w:r>
        <w:tab/>
        <w:t>Mining etc.</w:t>
      </w:r>
    </w:p>
    <w:p w:rsidR="006E39A3" w:rsidRDefault="00412163" w:rsidP="00051C8E">
      <w:pPr>
        <w:wordWrap/>
        <w:spacing w:before="60" w:after="60" w:line="288" w:lineRule="auto"/>
        <w:ind w:firstLine="284"/>
        <w:jc w:val="both"/>
      </w:pPr>
      <w:r>
        <w:lastRenderedPageBreak/>
        <w:t xml:space="preserve"> </w:t>
      </w:r>
      <w:r w:rsidR="00A708AA">
        <w:t xml:space="preserve">Since the IoT devices in above industries are often deployed in the remote areas without connection to terrestrial networks, satellites can provide complementary coverage in the remote areas. </w:t>
      </w:r>
      <w:r w:rsidR="006E39A3">
        <w:t xml:space="preserve">Necessary enhancements to enable </w:t>
      </w:r>
      <w:proofErr w:type="spellStart"/>
      <w:r w:rsidR="006E39A3">
        <w:t>eMBB</w:t>
      </w:r>
      <w:proofErr w:type="spellEnd"/>
      <w:r w:rsidR="006E39A3">
        <w:t xml:space="preserve"> services in NTN have been discussed and studied in Rel-17, whereas in this study the target is to support IoT device operation in NTN. </w:t>
      </w:r>
    </w:p>
    <w:p w:rsidR="00051C8E" w:rsidRDefault="00A708AA" w:rsidP="00051C8E">
      <w:pPr>
        <w:wordWrap/>
        <w:spacing w:before="60" w:after="60" w:line="288" w:lineRule="auto"/>
        <w:ind w:firstLine="284"/>
        <w:jc w:val="both"/>
      </w:pPr>
      <w:r>
        <w:t>As the baseline scenarios and parameters have been agreed in [2], it is essential to define proper metrics to evaluate the performance and justify the necessary enhancements to support IoT devices in NTN.</w:t>
      </w:r>
      <w:r w:rsidR="006E39A3">
        <w:t xml:space="preserve"> </w:t>
      </w:r>
      <w:r w:rsidR="00412163">
        <w:t xml:space="preserve">For some of the </w:t>
      </w:r>
      <w:r w:rsidR="006E39A3">
        <w:t>previously mentioned</w:t>
      </w:r>
      <w:r w:rsidR="00412163">
        <w:t xml:space="preserve"> industries, e.g., transportation, low latency is required for the safety reason and for other exemplary industries, such as environment monitoring, relatively high UE throughout might be needed due to the transmission of vast amount of monitoring date. In this regard, </w:t>
      </w:r>
      <w:r w:rsidR="006E39A3">
        <w:t xml:space="preserve">some of </w:t>
      </w:r>
      <w:r w:rsidR="00412163">
        <w:t xml:space="preserve">the conventional metrics to evaluate </w:t>
      </w:r>
      <w:proofErr w:type="spellStart"/>
      <w:r w:rsidR="00412163">
        <w:t>eMBB</w:t>
      </w:r>
      <w:proofErr w:type="spellEnd"/>
      <w:r w:rsidR="00412163">
        <w:t xml:space="preserve"> service can also be applied to evaluate the performance of IoT devices with </w:t>
      </w:r>
      <w:r>
        <w:t xml:space="preserve">perhaps </w:t>
      </w:r>
      <w:r w:rsidR="00412163">
        <w:t xml:space="preserve">relatively lower </w:t>
      </w:r>
      <w:r>
        <w:t xml:space="preserve">requirements. However, one of the crucial requirements for IoT devices is low power consumption, especially for NTN where the distance between the transmitter and receiver is much longer than that in terrestrial networks. </w:t>
      </w:r>
      <w:r w:rsidR="006E39A3">
        <w:t xml:space="preserve">Therefore, power consumption should be taken into consideration for evaluation. </w:t>
      </w:r>
    </w:p>
    <w:p w:rsidR="006E39A3" w:rsidRDefault="006E39A3" w:rsidP="006E39A3">
      <w:pPr>
        <w:wordWrap/>
        <w:spacing w:before="60" w:after="60" w:line="288" w:lineRule="auto"/>
        <w:jc w:val="both"/>
        <w:rPr>
          <w:i/>
        </w:rPr>
      </w:pPr>
      <w:r w:rsidRPr="009B1F44">
        <w:rPr>
          <w:b/>
          <w:i/>
        </w:rPr>
        <w:t>Proposal 1</w:t>
      </w:r>
      <w:r w:rsidRPr="009B1F44">
        <w:rPr>
          <w:i/>
        </w:rPr>
        <w:t xml:space="preserve">:  </w:t>
      </w:r>
      <w:r>
        <w:rPr>
          <w:i/>
        </w:rPr>
        <w:t>The following evaluation metrics should be considered,</w:t>
      </w:r>
    </w:p>
    <w:p w:rsidR="006E39A3" w:rsidRDefault="006E39A3" w:rsidP="006E39A3">
      <w:pPr>
        <w:pStyle w:val="aff9"/>
        <w:numPr>
          <w:ilvl w:val="0"/>
          <w:numId w:val="28"/>
        </w:numPr>
        <w:spacing w:before="60" w:after="60" w:line="288" w:lineRule="auto"/>
        <w:jc w:val="both"/>
        <w:rPr>
          <w:rFonts w:eastAsia="Malgun Gothic"/>
          <w:i/>
        </w:rPr>
      </w:pPr>
      <w:r>
        <w:rPr>
          <w:rFonts w:eastAsia="Malgun Gothic"/>
          <w:i/>
        </w:rPr>
        <w:t>UE throughput;</w:t>
      </w:r>
    </w:p>
    <w:p w:rsidR="006E39A3" w:rsidRPr="006E39A3" w:rsidRDefault="006E39A3" w:rsidP="006E39A3">
      <w:pPr>
        <w:pStyle w:val="aff9"/>
        <w:numPr>
          <w:ilvl w:val="0"/>
          <w:numId w:val="28"/>
        </w:numPr>
        <w:spacing w:before="60" w:after="60" w:line="288" w:lineRule="auto"/>
        <w:jc w:val="both"/>
        <w:rPr>
          <w:rFonts w:eastAsia="Malgun Gothic"/>
          <w:i/>
        </w:rPr>
      </w:pPr>
      <w:r>
        <w:rPr>
          <w:rFonts w:eastAsiaTheme="minorEastAsia" w:hint="eastAsia"/>
          <w:i/>
          <w:lang w:eastAsia="zh-CN"/>
        </w:rPr>
        <w:t>L</w:t>
      </w:r>
      <w:r>
        <w:rPr>
          <w:rFonts w:eastAsiaTheme="minorEastAsia"/>
          <w:i/>
          <w:lang w:eastAsia="zh-CN"/>
        </w:rPr>
        <w:t>atency;</w:t>
      </w:r>
    </w:p>
    <w:p w:rsidR="006E39A3" w:rsidRPr="006E39A3" w:rsidRDefault="006E39A3" w:rsidP="006E39A3">
      <w:pPr>
        <w:pStyle w:val="aff9"/>
        <w:numPr>
          <w:ilvl w:val="0"/>
          <w:numId w:val="28"/>
        </w:numPr>
        <w:spacing w:before="60" w:after="60" w:line="288" w:lineRule="auto"/>
        <w:jc w:val="both"/>
        <w:rPr>
          <w:rFonts w:eastAsia="Malgun Gothic"/>
          <w:i/>
        </w:rPr>
      </w:pPr>
      <w:r>
        <w:rPr>
          <w:rFonts w:eastAsia="Malgun Gothic"/>
          <w:i/>
        </w:rPr>
        <w:t>Power consumption.</w:t>
      </w:r>
    </w:p>
    <w:p w:rsidR="00121F67" w:rsidRDefault="006E39A3" w:rsidP="00121F67">
      <w:pPr>
        <w:pStyle w:val="2"/>
      </w:pPr>
      <w:r>
        <w:t>Link budget assumptions</w:t>
      </w:r>
    </w:p>
    <w:p w:rsidR="00B441CE" w:rsidRDefault="003D00A0" w:rsidP="00121F67">
      <w:pPr>
        <w:wordWrap/>
        <w:spacing w:before="60" w:after="60" w:line="288" w:lineRule="auto"/>
        <w:ind w:firstLine="284"/>
        <w:jc w:val="both"/>
      </w:pPr>
      <w:r>
        <w:t xml:space="preserve">Two parameter sets have been defined in TR 38.821 for </w:t>
      </w:r>
      <w:r w:rsidR="00B441CE">
        <w:t>S-band as below,</w:t>
      </w:r>
    </w:p>
    <w:p w:rsidR="003E5535" w:rsidRPr="003E5535" w:rsidRDefault="003E5535" w:rsidP="003E5535">
      <w:pPr>
        <w:wordWrap/>
        <w:spacing w:before="60" w:after="60" w:line="288" w:lineRule="auto"/>
        <w:ind w:firstLine="284"/>
        <w:jc w:val="center"/>
        <w:rPr>
          <w:rFonts w:eastAsia="Malgun Gothic"/>
          <w:b/>
        </w:rPr>
      </w:pPr>
      <w:r w:rsidRPr="003E5535">
        <w:rPr>
          <w:b/>
        </w:rPr>
        <w:t>Table 1: Set-1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784"/>
        <w:gridCol w:w="1834"/>
        <w:gridCol w:w="1834"/>
        <w:gridCol w:w="1834"/>
      </w:tblGrid>
      <w:tr w:rsidR="003E5535" w:rsidTr="003E5535">
        <w:trPr>
          <w:jc w:val="center"/>
        </w:trPr>
        <w:tc>
          <w:tcPr>
            <w:tcW w:w="4129" w:type="dxa"/>
            <w:gridSpan w:val="2"/>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orbit</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GEO</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LEO-1200</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LEO-600</w:t>
            </w:r>
          </w:p>
        </w:tc>
      </w:tr>
      <w:tr w:rsidR="003E5535" w:rsidTr="003E5535">
        <w:trPr>
          <w:jc w:val="center"/>
        </w:trPr>
        <w:tc>
          <w:tcPr>
            <w:tcW w:w="4129" w:type="dxa"/>
            <w:gridSpan w:val="2"/>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altitude</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35786 km</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1200 km</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600 km</w:t>
            </w:r>
          </w:p>
        </w:tc>
      </w:tr>
      <w:tr w:rsidR="003E5535" w:rsidTr="003E5535">
        <w:trPr>
          <w:jc w:val="center"/>
        </w:trPr>
        <w:tc>
          <w:tcPr>
            <w:tcW w:w="4129" w:type="dxa"/>
            <w:gridSpan w:val="2"/>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antenna pattern</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Section 6.4.1 in [3]</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Section 6.4.1 in [3]</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Section 6.4.1 in [3]</w:t>
            </w:r>
          </w:p>
        </w:tc>
      </w:tr>
      <w:tr w:rsidR="003E5535" w:rsidTr="003E5535">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Payload characteristics for DL transmissions</w:t>
            </w:r>
          </w:p>
        </w:tc>
      </w:tr>
      <w:tr w:rsidR="003E5535" w:rsidTr="003E5535">
        <w:trPr>
          <w:jc w:val="center"/>
        </w:trPr>
        <w:tc>
          <w:tcPr>
            <w:tcW w:w="2345"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Equivalent satellite antenna aperture</w:t>
            </w:r>
          </w:p>
        </w:tc>
        <w:tc>
          <w:tcPr>
            <w:tcW w:w="1784" w:type="dxa"/>
            <w:vMerge w:val="restart"/>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S-band</w:t>
            </w:r>
          </w:p>
          <w:p w:rsidR="003E5535" w:rsidRDefault="003E5535">
            <w:pPr>
              <w:pStyle w:val="TAC"/>
            </w:pPr>
            <w:r>
              <w:t>(i.e. 2 GHz)</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22 m</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2 m</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2 m</w:t>
            </w:r>
          </w:p>
        </w:tc>
      </w:tr>
      <w:tr w:rsidR="003E5535" w:rsidTr="003E5535">
        <w:trPr>
          <w:jc w:val="center"/>
        </w:trPr>
        <w:tc>
          <w:tcPr>
            <w:tcW w:w="2345"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EIRP density</w:t>
            </w:r>
          </w:p>
        </w:tc>
        <w:tc>
          <w:tcPr>
            <w:tcW w:w="178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sz w:val="18"/>
                <w:lang w:val="en-GB" w:eastAsia="en-US"/>
              </w:rPr>
            </w:pP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59 </w:t>
            </w:r>
            <w:proofErr w:type="spellStart"/>
            <w:r>
              <w:t>dBW</w:t>
            </w:r>
            <w:proofErr w:type="spellEnd"/>
            <w:r>
              <w:t>/MHz</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40 </w:t>
            </w:r>
            <w:proofErr w:type="spellStart"/>
            <w:r>
              <w:t>dBW</w:t>
            </w:r>
            <w:proofErr w:type="spellEnd"/>
            <w:r>
              <w:t>/MHz</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34 </w:t>
            </w:r>
            <w:proofErr w:type="spellStart"/>
            <w:r>
              <w:t>dBW</w:t>
            </w:r>
            <w:proofErr w:type="spellEnd"/>
            <w:r>
              <w:t>/MHz</w:t>
            </w:r>
          </w:p>
        </w:tc>
      </w:tr>
      <w:tr w:rsidR="003E5535" w:rsidTr="003E5535">
        <w:trPr>
          <w:jc w:val="center"/>
        </w:trPr>
        <w:tc>
          <w:tcPr>
            <w:tcW w:w="2345"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Tx max Gain</w:t>
            </w:r>
          </w:p>
        </w:tc>
        <w:tc>
          <w:tcPr>
            <w:tcW w:w="178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sz w:val="18"/>
                <w:lang w:val="en-GB" w:eastAsia="en-US"/>
              </w:rPr>
            </w:pP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51 </w:t>
            </w:r>
            <w:proofErr w:type="spellStart"/>
            <w:r>
              <w:t>dBi</w:t>
            </w:r>
            <w:proofErr w:type="spellEnd"/>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30 </w:t>
            </w:r>
            <w:proofErr w:type="spellStart"/>
            <w:r>
              <w:t>dBi</w:t>
            </w:r>
            <w:proofErr w:type="spellEnd"/>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30 </w:t>
            </w:r>
            <w:proofErr w:type="spellStart"/>
            <w:r>
              <w:t>dBi</w:t>
            </w:r>
            <w:proofErr w:type="spellEnd"/>
          </w:p>
        </w:tc>
      </w:tr>
      <w:tr w:rsidR="003E5535" w:rsidTr="003E5535">
        <w:trPr>
          <w:jc w:val="center"/>
        </w:trPr>
        <w:tc>
          <w:tcPr>
            <w:tcW w:w="2345"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3dB </w:t>
            </w:r>
            <w:proofErr w:type="spellStart"/>
            <w:r>
              <w:t>beamwidth</w:t>
            </w:r>
            <w:proofErr w:type="spellEnd"/>
          </w:p>
        </w:tc>
        <w:tc>
          <w:tcPr>
            <w:tcW w:w="178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sz w:val="18"/>
                <w:lang w:val="en-GB" w:eastAsia="en-US"/>
              </w:rPr>
            </w:pP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0.4011 deg</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4.4127 deg</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4.4127 deg</w:t>
            </w:r>
          </w:p>
        </w:tc>
      </w:tr>
      <w:tr w:rsidR="003E5535" w:rsidTr="003E5535">
        <w:trPr>
          <w:jc w:val="center"/>
        </w:trPr>
        <w:tc>
          <w:tcPr>
            <w:tcW w:w="2345"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Satellite beam diameter </w:t>
            </w:r>
          </w:p>
        </w:tc>
        <w:tc>
          <w:tcPr>
            <w:tcW w:w="178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sz w:val="18"/>
                <w:lang w:val="en-GB" w:eastAsia="en-US"/>
              </w:rPr>
            </w:pP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250 km</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90 km</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50 km</w:t>
            </w:r>
          </w:p>
        </w:tc>
      </w:tr>
      <w:tr w:rsidR="003E5535" w:rsidTr="003E5535">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Payload characteristics for UL transmissions</w:t>
            </w:r>
          </w:p>
        </w:tc>
      </w:tr>
      <w:tr w:rsidR="003E5535" w:rsidTr="003E5535">
        <w:trPr>
          <w:jc w:val="center"/>
        </w:trPr>
        <w:tc>
          <w:tcPr>
            <w:tcW w:w="2345"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Equivalent satellite antenna aperture</w:t>
            </w:r>
          </w:p>
        </w:tc>
        <w:tc>
          <w:tcPr>
            <w:tcW w:w="1784" w:type="dxa"/>
            <w:vMerge w:val="restart"/>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S-band </w:t>
            </w:r>
          </w:p>
          <w:p w:rsidR="003E5535" w:rsidRDefault="003E5535">
            <w:pPr>
              <w:pStyle w:val="TAC"/>
            </w:pPr>
            <w:r>
              <w:t>(i.e. 2 GHz)</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22 m</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2 m</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2 m</w:t>
            </w:r>
          </w:p>
        </w:tc>
      </w:tr>
      <w:tr w:rsidR="003E5535" w:rsidTr="003E5535">
        <w:trPr>
          <w:jc w:val="center"/>
        </w:trPr>
        <w:tc>
          <w:tcPr>
            <w:tcW w:w="2345"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G/T</w:t>
            </w:r>
          </w:p>
        </w:tc>
        <w:tc>
          <w:tcPr>
            <w:tcW w:w="178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sz w:val="18"/>
                <w:lang w:val="en-GB" w:eastAsia="en-US"/>
              </w:rPr>
            </w:pP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19 dB K</w:t>
            </w:r>
            <w:r>
              <w:rPr>
                <w:vertAlign w:val="superscript"/>
              </w:rPr>
              <w:t>-1</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1.1 dB K</w:t>
            </w:r>
            <w:r>
              <w:rPr>
                <w:vertAlign w:val="superscript"/>
              </w:rPr>
              <w:t>-1</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1.1 dB K</w:t>
            </w:r>
            <w:r>
              <w:rPr>
                <w:vertAlign w:val="superscript"/>
              </w:rPr>
              <w:t>-1</w:t>
            </w:r>
          </w:p>
        </w:tc>
      </w:tr>
      <w:tr w:rsidR="003E5535" w:rsidTr="003E5535">
        <w:trPr>
          <w:jc w:val="center"/>
        </w:trPr>
        <w:tc>
          <w:tcPr>
            <w:tcW w:w="2345"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Rx max Gain</w:t>
            </w:r>
          </w:p>
        </w:tc>
        <w:tc>
          <w:tcPr>
            <w:tcW w:w="178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sz w:val="18"/>
                <w:lang w:val="en-GB" w:eastAsia="en-US"/>
              </w:rPr>
            </w:pP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51 </w:t>
            </w:r>
            <w:proofErr w:type="spellStart"/>
            <w:r>
              <w:t>dBi</w:t>
            </w:r>
            <w:proofErr w:type="spellEnd"/>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30 </w:t>
            </w:r>
            <w:proofErr w:type="spellStart"/>
            <w:r>
              <w:t>dBi</w:t>
            </w:r>
            <w:proofErr w:type="spellEnd"/>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30 </w:t>
            </w:r>
            <w:proofErr w:type="spellStart"/>
            <w:r>
              <w:t>dBi</w:t>
            </w:r>
            <w:proofErr w:type="spellEnd"/>
          </w:p>
        </w:tc>
      </w:tr>
      <w:tr w:rsidR="003E5535" w:rsidTr="003E5535">
        <w:trPr>
          <w:jc w:val="center"/>
        </w:trPr>
        <w:tc>
          <w:tcPr>
            <w:tcW w:w="2345"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Equivalent satellite antenna aperture</w:t>
            </w:r>
          </w:p>
        </w:tc>
        <w:tc>
          <w:tcPr>
            <w:tcW w:w="1784" w:type="dxa"/>
            <w:vMerge w:val="restart"/>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Ka-band (i.e. 30 GHz for UL)</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3.33 m</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0.33 m</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0.33 m</w:t>
            </w:r>
          </w:p>
        </w:tc>
      </w:tr>
      <w:tr w:rsidR="003E5535" w:rsidTr="003E5535">
        <w:trPr>
          <w:jc w:val="center"/>
        </w:trPr>
        <w:tc>
          <w:tcPr>
            <w:tcW w:w="2345"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G/T</w:t>
            </w:r>
          </w:p>
        </w:tc>
        <w:tc>
          <w:tcPr>
            <w:tcW w:w="178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sz w:val="18"/>
                <w:lang w:val="en-GB" w:eastAsia="en-US"/>
              </w:rPr>
            </w:pP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28 dB K</w:t>
            </w:r>
            <w:r>
              <w:rPr>
                <w:vertAlign w:val="superscript"/>
              </w:rPr>
              <w:t>-1</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13 dB K</w:t>
            </w:r>
            <w:r>
              <w:rPr>
                <w:vertAlign w:val="superscript"/>
              </w:rPr>
              <w:t>-1</w:t>
            </w: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13 dB K</w:t>
            </w:r>
            <w:r>
              <w:rPr>
                <w:vertAlign w:val="superscript"/>
              </w:rPr>
              <w:t>-1</w:t>
            </w:r>
          </w:p>
        </w:tc>
      </w:tr>
      <w:tr w:rsidR="003E5535" w:rsidTr="003E5535">
        <w:trPr>
          <w:jc w:val="center"/>
        </w:trPr>
        <w:tc>
          <w:tcPr>
            <w:tcW w:w="2345"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RX max Gain</w:t>
            </w:r>
          </w:p>
        </w:tc>
        <w:tc>
          <w:tcPr>
            <w:tcW w:w="178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sz w:val="18"/>
                <w:lang w:val="en-GB" w:eastAsia="en-US"/>
              </w:rPr>
            </w:pPr>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58.5 </w:t>
            </w:r>
            <w:proofErr w:type="spellStart"/>
            <w:r>
              <w:t>dBi</w:t>
            </w:r>
            <w:proofErr w:type="spellEnd"/>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38.5 </w:t>
            </w:r>
            <w:proofErr w:type="spellStart"/>
            <w:r>
              <w:t>dBi</w:t>
            </w:r>
            <w:proofErr w:type="spellEnd"/>
          </w:p>
        </w:tc>
        <w:tc>
          <w:tcPr>
            <w:tcW w:w="1834"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38.5 </w:t>
            </w:r>
            <w:proofErr w:type="spellStart"/>
            <w:r>
              <w:t>dBi</w:t>
            </w:r>
            <w:proofErr w:type="spellEnd"/>
          </w:p>
        </w:tc>
      </w:tr>
    </w:tbl>
    <w:p w:rsidR="003E5535" w:rsidRPr="003E5535" w:rsidRDefault="003E5535" w:rsidP="003E5535">
      <w:pPr>
        <w:wordWrap/>
        <w:spacing w:before="60" w:after="60" w:line="288" w:lineRule="auto"/>
        <w:ind w:firstLine="284"/>
        <w:jc w:val="center"/>
        <w:rPr>
          <w:rFonts w:eastAsia="Malgun Gothic"/>
          <w:b/>
        </w:rPr>
      </w:pPr>
      <w:r w:rsidRPr="003E5535">
        <w:rPr>
          <w:b/>
        </w:rPr>
        <w:t xml:space="preserve">Table </w:t>
      </w:r>
      <w:r>
        <w:rPr>
          <w:b/>
        </w:rPr>
        <w:t>2</w:t>
      </w:r>
      <w:r w:rsidRPr="003E5535">
        <w:rPr>
          <w:b/>
        </w:rPr>
        <w:t>: Set-</w:t>
      </w:r>
      <w:r>
        <w:rPr>
          <w:b/>
        </w:rPr>
        <w:t>2</w:t>
      </w:r>
      <w:r w:rsidRPr="003E5535">
        <w:rPr>
          <w:b/>
        </w:rPr>
        <w:t xml:space="preserve">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1824"/>
        <w:gridCol w:w="1877"/>
        <w:gridCol w:w="1877"/>
        <w:gridCol w:w="1877"/>
      </w:tblGrid>
      <w:tr w:rsidR="003E5535" w:rsidTr="003E5535">
        <w:trPr>
          <w:jc w:val="center"/>
        </w:trPr>
        <w:tc>
          <w:tcPr>
            <w:tcW w:w="4224" w:type="dxa"/>
            <w:gridSpan w:val="2"/>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lastRenderedPageBreak/>
              <w:t>Satellite orbit</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GEO</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LEO-1200</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LEO-600</w:t>
            </w:r>
          </w:p>
        </w:tc>
      </w:tr>
      <w:tr w:rsidR="003E5535" w:rsidTr="003E5535">
        <w:trPr>
          <w:jc w:val="center"/>
        </w:trPr>
        <w:tc>
          <w:tcPr>
            <w:tcW w:w="4224" w:type="dxa"/>
            <w:gridSpan w:val="2"/>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altitude</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35786 km</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1200 km</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600 km</w:t>
            </w:r>
          </w:p>
        </w:tc>
      </w:tr>
      <w:tr w:rsidR="003E5535" w:rsidTr="003E5535">
        <w:trPr>
          <w:trHeight w:val="372"/>
          <w:jc w:val="center"/>
        </w:trPr>
        <w:tc>
          <w:tcPr>
            <w:tcW w:w="4224" w:type="dxa"/>
            <w:gridSpan w:val="2"/>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antenna pattern</w:t>
            </w:r>
          </w:p>
        </w:tc>
        <w:tc>
          <w:tcPr>
            <w:tcW w:w="1877" w:type="dxa"/>
            <w:tcBorders>
              <w:top w:val="single" w:sz="4" w:space="0" w:color="auto"/>
              <w:left w:val="single" w:sz="4" w:space="0" w:color="auto"/>
              <w:bottom w:val="single" w:sz="4" w:space="0" w:color="auto"/>
              <w:right w:val="single" w:sz="4" w:space="0" w:color="auto"/>
            </w:tcBorders>
            <w:hideMark/>
          </w:tcPr>
          <w:p w:rsidR="003E5535" w:rsidRDefault="003E5535">
            <w:pPr>
              <w:pStyle w:val="TAC"/>
            </w:pPr>
            <w:r>
              <w:t>Section 6.4.1 in [3]</w:t>
            </w:r>
          </w:p>
        </w:tc>
        <w:tc>
          <w:tcPr>
            <w:tcW w:w="1877" w:type="dxa"/>
            <w:tcBorders>
              <w:top w:val="single" w:sz="4" w:space="0" w:color="auto"/>
              <w:left w:val="single" w:sz="4" w:space="0" w:color="auto"/>
              <w:bottom w:val="single" w:sz="4" w:space="0" w:color="auto"/>
              <w:right w:val="single" w:sz="4" w:space="0" w:color="auto"/>
            </w:tcBorders>
            <w:hideMark/>
          </w:tcPr>
          <w:p w:rsidR="003E5535" w:rsidRDefault="003E5535">
            <w:pPr>
              <w:pStyle w:val="TAC"/>
            </w:pPr>
            <w:r>
              <w:t>Section 6.4.1 in [3]</w:t>
            </w:r>
          </w:p>
        </w:tc>
        <w:tc>
          <w:tcPr>
            <w:tcW w:w="1877" w:type="dxa"/>
            <w:tcBorders>
              <w:top w:val="single" w:sz="4" w:space="0" w:color="auto"/>
              <w:left w:val="single" w:sz="4" w:space="0" w:color="auto"/>
              <w:bottom w:val="single" w:sz="4" w:space="0" w:color="auto"/>
              <w:right w:val="single" w:sz="4" w:space="0" w:color="auto"/>
            </w:tcBorders>
            <w:hideMark/>
          </w:tcPr>
          <w:p w:rsidR="003E5535" w:rsidRDefault="003E5535">
            <w:pPr>
              <w:pStyle w:val="TAC"/>
            </w:pPr>
            <w:r>
              <w:t>Section 6.4.1 in [3]</w:t>
            </w:r>
          </w:p>
        </w:tc>
      </w:tr>
      <w:tr w:rsidR="003E5535" w:rsidTr="003E5535">
        <w:trPr>
          <w:trHeight w:val="372"/>
          <w:jc w:val="center"/>
        </w:trPr>
        <w:tc>
          <w:tcPr>
            <w:tcW w:w="9855" w:type="dxa"/>
            <w:gridSpan w:val="5"/>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Payload characteristics for DL transmissions</w:t>
            </w:r>
          </w:p>
        </w:tc>
      </w:tr>
      <w:tr w:rsidR="003E5535" w:rsidTr="003E5535">
        <w:trPr>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Equivalent satellite antenna aperture</w:t>
            </w:r>
          </w:p>
        </w:tc>
        <w:tc>
          <w:tcPr>
            <w:tcW w:w="1824" w:type="dxa"/>
            <w:vMerge w:val="restart"/>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S-band</w:t>
            </w:r>
          </w:p>
          <w:p w:rsidR="003E5535" w:rsidRDefault="003E5535">
            <w:pPr>
              <w:pStyle w:val="TAC"/>
              <w:rPr>
                <w:b/>
              </w:rPr>
            </w:pPr>
            <w:r>
              <w:t>(i.e. 2 GHz)</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12 m</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 m</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 m</w:t>
            </w:r>
          </w:p>
        </w:tc>
      </w:tr>
      <w:tr w:rsidR="003E5535" w:rsidTr="003E5535">
        <w:trPr>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EIRP density</w:t>
            </w:r>
          </w:p>
        </w:tc>
        <w:tc>
          <w:tcPr>
            <w:tcW w:w="182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b/>
                <w:sz w:val="18"/>
                <w:lang w:val="en-GB" w:eastAsia="en-US"/>
              </w:rPr>
            </w:pP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53.5 </w:t>
            </w:r>
            <w:proofErr w:type="spellStart"/>
            <w:r>
              <w:t>dBW</w:t>
            </w:r>
            <w:proofErr w:type="spellEnd"/>
            <w:r>
              <w:t>/MHz</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34 </w:t>
            </w:r>
            <w:proofErr w:type="spellStart"/>
            <w:r>
              <w:t>dBW</w:t>
            </w:r>
            <w:proofErr w:type="spellEnd"/>
            <w:r>
              <w:t>/MHz</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28 </w:t>
            </w:r>
            <w:proofErr w:type="spellStart"/>
            <w:r>
              <w:t>dBW</w:t>
            </w:r>
            <w:proofErr w:type="spellEnd"/>
            <w:r>
              <w:t>/MHz</w:t>
            </w:r>
          </w:p>
        </w:tc>
      </w:tr>
      <w:tr w:rsidR="003E5535" w:rsidTr="003E5535">
        <w:trPr>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Tx max Gain</w:t>
            </w:r>
          </w:p>
        </w:tc>
        <w:tc>
          <w:tcPr>
            <w:tcW w:w="182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b/>
                <w:sz w:val="18"/>
                <w:lang w:val="en-GB" w:eastAsia="en-US"/>
              </w:rPr>
            </w:pP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45.5 </w:t>
            </w:r>
            <w:proofErr w:type="spellStart"/>
            <w:r>
              <w:t>dBi</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24 </w:t>
            </w:r>
            <w:proofErr w:type="spellStart"/>
            <w:r>
              <w:t>dBi</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24 </w:t>
            </w:r>
            <w:proofErr w:type="spellStart"/>
            <w:r>
              <w:t>dBi</w:t>
            </w:r>
            <w:proofErr w:type="spellEnd"/>
          </w:p>
        </w:tc>
      </w:tr>
      <w:tr w:rsidR="003E5535" w:rsidTr="003E5535">
        <w:trPr>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3dB </w:t>
            </w:r>
            <w:proofErr w:type="spellStart"/>
            <w:r>
              <w:t>beamwidth</w:t>
            </w:r>
            <w:proofErr w:type="spellEnd"/>
          </w:p>
        </w:tc>
        <w:tc>
          <w:tcPr>
            <w:tcW w:w="182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b/>
                <w:sz w:val="18"/>
                <w:lang w:val="en-GB" w:eastAsia="en-US"/>
              </w:rPr>
            </w:pP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0.7353 deg</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8.8320 deg</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8.8320 deg</w:t>
            </w:r>
          </w:p>
        </w:tc>
      </w:tr>
      <w:tr w:rsidR="003E5535" w:rsidTr="003E5535">
        <w:trPr>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Satellite beam diameter </w:t>
            </w:r>
          </w:p>
        </w:tc>
        <w:tc>
          <w:tcPr>
            <w:tcW w:w="182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b/>
                <w:sz w:val="18"/>
                <w:lang w:val="en-GB" w:eastAsia="en-US"/>
              </w:rPr>
            </w:pP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450 km</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190 km</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90 km</w:t>
            </w:r>
          </w:p>
        </w:tc>
      </w:tr>
      <w:tr w:rsidR="003E5535" w:rsidTr="003E5535">
        <w:trPr>
          <w:jc w:val="center"/>
        </w:trPr>
        <w:tc>
          <w:tcPr>
            <w:tcW w:w="9855" w:type="dxa"/>
            <w:gridSpan w:val="5"/>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Payload characteristics for UL transmissions</w:t>
            </w:r>
          </w:p>
        </w:tc>
      </w:tr>
      <w:tr w:rsidR="003E5535" w:rsidTr="003E5535">
        <w:trPr>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Equivalent satellite antenna aperture</w:t>
            </w:r>
          </w:p>
        </w:tc>
        <w:tc>
          <w:tcPr>
            <w:tcW w:w="1824" w:type="dxa"/>
            <w:vMerge w:val="restart"/>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S-band</w:t>
            </w:r>
          </w:p>
          <w:p w:rsidR="003E5535" w:rsidRDefault="003E5535">
            <w:pPr>
              <w:pStyle w:val="TAC"/>
              <w:rPr>
                <w:b/>
              </w:rPr>
            </w:pPr>
            <w:r>
              <w:rPr>
                <w:b/>
              </w:rPr>
              <w:t>(</w:t>
            </w:r>
            <w:r>
              <w:t>i.e. 2 GHz)</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12 m</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 m</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 m</w:t>
            </w:r>
          </w:p>
        </w:tc>
      </w:tr>
      <w:tr w:rsidR="003E5535" w:rsidTr="003E5535">
        <w:trPr>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G/T</w:t>
            </w:r>
          </w:p>
        </w:tc>
        <w:tc>
          <w:tcPr>
            <w:tcW w:w="182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b/>
                <w:sz w:val="18"/>
                <w:lang w:val="en-GB" w:eastAsia="en-US"/>
              </w:rPr>
            </w:pP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14 dB K</w:t>
            </w:r>
            <w:r>
              <w:rPr>
                <w:vertAlign w:val="superscript"/>
              </w:rPr>
              <w:t>-1</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-4.9 dB K</w:t>
            </w:r>
            <w:r>
              <w:rPr>
                <w:vertAlign w:val="superscript"/>
              </w:rPr>
              <w:t>-1</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-4.9 dB K</w:t>
            </w:r>
            <w:r>
              <w:rPr>
                <w:vertAlign w:val="superscript"/>
              </w:rPr>
              <w:t>-1</w:t>
            </w:r>
          </w:p>
        </w:tc>
      </w:tr>
      <w:tr w:rsidR="003E5535" w:rsidTr="003E5535">
        <w:trPr>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Rx max Gain</w:t>
            </w:r>
          </w:p>
        </w:tc>
        <w:tc>
          <w:tcPr>
            <w:tcW w:w="182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b/>
                <w:sz w:val="18"/>
                <w:lang w:val="en-GB" w:eastAsia="en-US"/>
              </w:rPr>
            </w:pP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45.5 </w:t>
            </w:r>
            <w:proofErr w:type="spellStart"/>
            <w:r>
              <w:t>dBi</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24 </w:t>
            </w:r>
            <w:proofErr w:type="spellStart"/>
            <w:r>
              <w:t>dBi</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24 </w:t>
            </w:r>
            <w:proofErr w:type="spellStart"/>
            <w:r>
              <w:t>dBi</w:t>
            </w:r>
            <w:proofErr w:type="spellEnd"/>
          </w:p>
        </w:tc>
      </w:tr>
      <w:tr w:rsidR="003E5535" w:rsidTr="003E5535">
        <w:trPr>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Equivalent satellite antenna aperture</w:t>
            </w:r>
          </w:p>
        </w:tc>
        <w:tc>
          <w:tcPr>
            <w:tcW w:w="1824" w:type="dxa"/>
            <w:vMerge w:val="restart"/>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rPr>
                <w:b/>
              </w:rPr>
            </w:pPr>
            <w:r>
              <w:t>Ka-band (i.e. 30 GHz for UL)</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1.33 m</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0.13 m</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0.13 m</w:t>
            </w:r>
          </w:p>
        </w:tc>
      </w:tr>
      <w:tr w:rsidR="003E5535" w:rsidTr="003E5535">
        <w:trPr>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G/T</w:t>
            </w:r>
          </w:p>
        </w:tc>
        <w:tc>
          <w:tcPr>
            <w:tcW w:w="182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b/>
                <w:sz w:val="18"/>
                <w:lang w:val="en-GB" w:eastAsia="en-US"/>
              </w:rPr>
            </w:pP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20 dB K</w:t>
            </w:r>
            <w:r>
              <w:rPr>
                <w:vertAlign w:val="superscript"/>
              </w:rPr>
              <w:t>-1</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5 dB K</w:t>
            </w:r>
            <w:r>
              <w:rPr>
                <w:vertAlign w:val="superscript"/>
              </w:rPr>
              <w:t>-1</w:t>
            </w: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5 dB K</w:t>
            </w:r>
            <w:r>
              <w:rPr>
                <w:vertAlign w:val="superscript"/>
              </w:rPr>
              <w:t>-1</w:t>
            </w:r>
          </w:p>
        </w:tc>
      </w:tr>
      <w:tr w:rsidR="003E5535" w:rsidTr="003E5535">
        <w:trPr>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Satellite Rx max Gain</w:t>
            </w:r>
          </w:p>
        </w:tc>
        <w:tc>
          <w:tcPr>
            <w:tcW w:w="1824" w:type="dxa"/>
            <w:vMerge/>
            <w:tcBorders>
              <w:top w:val="single" w:sz="4" w:space="0" w:color="auto"/>
              <w:left w:val="single" w:sz="4" w:space="0" w:color="auto"/>
              <w:bottom w:val="single" w:sz="4" w:space="0" w:color="auto"/>
              <w:right w:val="single" w:sz="4" w:space="0" w:color="auto"/>
            </w:tcBorders>
            <w:vAlign w:val="center"/>
            <w:hideMark/>
          </w:tcPr>
          <w:p w:rsidR="003E5535" w:rsidRDefault="003E5535">
            <w:pPr>
              <w:rPr>
                <w:rFonts w:ascii="Arial" w:eastAsiaTheme="minorEastAsia" w:hAnsi="Arial"/>
                <w:b/>
                <w:sz w:val="18"/>
                <w:lang w:val="en-GB" w:eastAsia="en-US"/>
              </w:rPr>
            </w:pPr>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50.5 </w:t>
            </w:r>
            <w:proofErr w:type="spellStart"/>
            <w:r>
              <w:t>dBi</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30.5 </w:t>
            </w:r>
            <w:proofErr w:type="spellStart"/>
            <w:r>
              <w:t>dBi</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rsidR="003E5535" w:rsidRDefault="003E5535">
            <w:pPr>
              <w:pStyle w:val="TAC"/>
            </w:pPr>
            <w:r>
              <w:t xml:space="preserve">30.5 </w:t>
            </w:r>
            <w:proofErr w:type="spellStart"/>
            <w:r>
              <w:t>dBi</w:t>
            </w:r>
            <w:proofErr w:type="spellEnd"/>
          </w:p>
        </w:tc>
      </w:tr>
    </w:tbl>
    <w:p w:rsidR="003E5535" w:rsidRDefault="003E5535" w:rsidP="003E5535">
      <w:pPr>
        <w:wordWrap/>
        <w:spacing w:before="240" w:after="60" w:line="288" w:lineRule="auto"/>
        <w:ind w:firstLine="284"/>
        <w:jc w:val="both"/>
        <w:rPr>
          <w:rFonts w:eastAsiaTheme="minorEastAsia"/>
          <w:lang w:eastAsia="zh-CN"/>
        </w:rPr>
      </w:pPr>
      <w:r>
        <w:rPr>
          <w:rFonts w:eastAsiaTheme="minorEastAsia"/>
          <w:lang w:eastAsia="zh-CN"/>
        </w:rPr>
        <w:t xml:space="preserve">Two additional sets of parameters were proposed </w:t>
      </w:r>
      <w:r w:rsidR="00C43E82">
        <w:rPr>
          <w:rFonts w:eastAsiaTheme="minorEastAsia"/>
          <w:lang w:eastAsia="zh-CN"/>
        </w:rPr>
        <w:t xml:space="preserve">and captured </w:t>
      </w:r>
      <w:r>
        <w:rPr>
          <w:rFonts w:eastAsiaTheme="minorEastAsia"/>
          <w:lang w:eastAsia="zh-CN"/>
        </w:rPr>
        <w:t>in [</w:t>
      </w:r>
      <w:r w:rsidR="00C43E82">
        <w:rPr>
          <w:rFonts w:eastAsiaTheme="minorEastAsia"/>
          <w:lang w:eastAsia="zh-CN"/>
        </w:rPr>
        <w:t>4</w:t>
      </w:r>
      <w:r>
        <w:rPr>
          <w:rFonts w:eastAsiaTheme="minorEastAsia"/>
          <w:lang w:eastAsia="zh-CN"/>
        </w:rPr>
        <w:t>]</w:t>
      </w:r>
      <w:r w:rsidR="00C43E82">
        <w:rPr>
          <w:rFonts w:eastAsiaTheme="minorEastAsia"/>
          <w:lang w:eastAsia="zh-CN"/>
        </w:rPr>
        <w:t xml:space="preserve"> </w:t>
      </w:r>
      <w:r>
        <w:rPr>
          <w:rFonts w:eastAsiaTheme="minorEastAsia"/>
          <w:lang w:eastAsia="zh-CN"/>
        </w:rPr>
        <w:t>during the last meeting for more challenging scenarios</w:t>
      </w:r>
      <w:r w:rsidR="009325E3">
        <w:rPr>
          <w:rFonts w:eastAsiaTheme="minorEastAsia"/>
          <w:lang w:eastAsia="zh-CN"/>
        </w:rPr>
        <w:t xml:space="preserve">. </w:t>
      </w:r>
      <w:r w:rsidR="00C43E82">
        <w:rPr>
          <w:rFonts w:eastAsiaTheme="minorEastAsia"/>
          <w:lang w:eastAsia="zh-CN"/>
        </w:rPr>
        <w:t>In our view, the two sets of parameters in TR38.821, i.e., set 1 and 2 should be the baseline for link budget analysis and two additional sets, i.e., set 3 and 4 can be optional.</w:t>
      </w:r>
    </w:p>
    <w:p w:rsidR="003D24C6" w:rsidRPr="00C43E82" w:rsidRDefault="00C43E82" w:rsidP="003D24C6">
      <w:pPr>
        <w:wordWrap/>
        <w:spacing w:before="60" w:after="60" w:line="288" w:lineRule="auto"/>
        <w:jc w:val="both"/>
        <w:rPr>
          <w:rFonts w:eastAsia="Malgun Gothic"/>
          <w:i/>
        </w:rPr>
      </w:pPr>
      <w:r w:rsidRPr="009B1F44">
        <w:rPr>
          <w:b/>
          <w:i/>
        </w:rPr>
        <w:t>Proposal</w:t>
      </w:r>
      <w:r>
        <w:rPr>
          <w:b/>
          <w:i/>
        </w:rPr>
        <w:t xml:space="preserve"> 2</w:t>
      </w:r>
      <w:r w:rsidRPr="009B1F44">
        <w:rPr>
          <w:i/>
        </w:rPr>
        <w:t xml:space="preserve">:  </w:t>
      </w:r>
      <w:r>
        <w:rPr>
          <w:i/>
        </w:rPr>
        <w:t>Two parameter sets in TR 38.821, i.e., set 1 and 2, should be the base line for link budget analysis, and additional sets, i.e., set 3 and 4 can be optional.</w:t>
      </w:r>
    </w:p>
    <w:p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C43E82" w:rsidRPr="00C43E82">
        <w:rPr>
          <w:rFonts w:eastAsia="Malgun Gothic"/>
          <w:color w:val="000000"/>
        </w:rPr>
        <w:t>the remaining issues for Scenarios applicable to NB-IoT/</w:t>
      </w:r>
      <w:proofErr w:type="spellStart"/>
      <w:r w:rsidR="00C43E82" w:rsidRPr="00C43E82">
        <w:rPr>
          <w:rFonts w:eastAsia="Malgun Gothic"/>
          <w:color w:val="000000"/>
        </w:rPr>
        <w:t>eMTC</w:t>
      </w:r>
      <w:proofErr w:type="spellEnd"/>
      <w:r>
        <w:rPr>
          <w:rFonts w:eastAsia="Malgun Gothic"/>
          <w:color w:val="000000"/>
        </w:rPr>
        <w:t>. Our proposals are summarized below.</w:t>
      </w:r>
    </w:p>
    <w:p w:rsidR="00C43E82" w:rsidRDefault="00C43E82" w:rsidP="00C43E82">
      <w:pPr>
        <w:wordWrap/>
        <w:spacing w:before="60" w:after="60" w:line="288" w:lineRule="auto"/>
        <w:jc w:val="both"/>
        <w:rPr>
          <w:i/>
        </w:rPr>
      </w:pPr>
      <w:r w:rsidRPr="009B1F44">
        <w:rPr>
          <w:b/>
          <w:i/>
        </w:rPr>
        <w:t>Proposal 1</w:t>
      </w:r>
      <w:r w:rsidRPr="009B1F44">
        <w:rPr>
          <w:i/>
        </w:rPr>
        <w:t xml:space="preserve">:  </w:t>
      </w:r>
      <w:r>
        <w:rPr>
          <w:i/>
        </w:rPr>
        <w:t>The following evaluation metrics should be considered,</w:t>
      </w:r>
    </w:p>
    <w:p w:rsidR="00C43E82" w:rsidRDefault="00C43E82" w:rsidP="00C43E82">
      <w:pPr>
        <w:pStyle w:val="aff9"/>
        <w:numPr>
          <w:ilvl w:val="0"/>
          <w:numId w:val="28"/>
        </w:numPr>
        <w:spacing w:before="60" w:after="60" w:line="288" w:lineRule="auto"/>
        <w:jc w:val="both"/>
        <w:rPr>
          <w:rFonts w:eastAsia="Malgun Gothic"/>
          <w:i/>
        </w:rPr>
      </w:pPr>
      <w:r>
        <w:rPr>
          <w:rFonts w:eastAsia="Malgun Gothic"/>
          <w:i/>
        </w:rPr>
        <w:t>UE throughput;</w:t>
      </w:r>
    </w:p>
    <w:p w:rsidR="00C43E82" w:rsidRPr="006E39A3" w:rsidRDefault="00C43E82" w:rsidP="00C43E82">
      <w:pPr>
        <w:pStyle w:val="aff9"/>
        <w:numPr>
          <w:ilvl w:val="0"/>
          <w:numId w:val="28"/>
        </w:numPr>
        <w:spacing w:before="60" w:after="60" w:line="288" w:lineRule="auto"/>
        <w:jc w:val="both"/>
        <w:rPr>
          <w:rFonts w:eastAsia="Malgun Gothic"/>
          <w:i/>
        </w:rPr>
      </w:pPr>
      <w:r>
        <w:rPr>
          <w:rFonts w:eastAsiaTheme="minorEastAsia" w:hint="eastAsia"/>
          <w:i/>
          <w:lang w:eastAsia="zh-CN"/>
        </w:rPr>
        <w:t>L</w:t>
      </w:r>
      <w:r>
        <w:rPr>
          <w:rFonts w:eastAsiaTheme="minorEastAsia"/>
          <w:i/>
          <w:lang w:eastAsia="zh-CN"/>
        </w:rPr>
        <w:t>atency;</w:t>
      </w:r>
    </w:p>
    <w:p w:rsidR="00C43E82" w:rsidRPr="006E39A3" w:rsidRDefault="00C43E82" w:rsidP="00C43E82">
      <w:pPr>
        <w:pStyle w:val="aff9"/>
        <w:numPr>
          <w:ilvl w:val="0"/>
          <w:numId w:val="28"/>
        </w:numPr>
        <w:spacing w:before="60" w:after="60" w:line="288" w:lineRule="auto"/>
        <w:jc w:val="both"/>
        <w:rPr>
          <w:rFonts w:eastAsia="Malgun Gothic"/>
          <w:i/>
        </w:rPr>
      </w:pPr>
      <w:r>
        <w:rPr>
          <w:rFonts w:eastAsia="Malgun Gothic"/>
          <w:i/>
        </w:rPr>
        <w:t>Power consumption.</w:t>
      </w:r>
    </w:p>
    <w:p w:rsidR="00C43E82" w:rsidRPr="00C43E82" w:rsidRDefault="00C43E82" w:rsidP="00C43E82">
      <w:pPr>
        <w:wordWrap/>
        <w:spacing w:before="60" w:after="60" w:line="288" w:lineRule="auto"/>
        <w:jc w:val="both"/>
        <w:rPr>
          <w:rFonts w:eastAsia="Malgun Gothic"/>
          <w:i/>
        </w:rPr>
      </w:pPr>
      <w:r w:rsidRPr="009B1F44">
        <w:rPr>
          <w:b/>
          <w:i/>
        </w:rPr>
        <w:t>Proposal</w:t>
      </w:r>
      <w:r>
        <w:rPr>
          <w:b/>
          <w:i/>
        </w:rPr>
        <w:t xml:space="preserve"> 2</w:t>
      </w:r>
      <w:r w:rsidRPr="009B1F44">
        <w:rPr>
          <w:i/>
        </w:rPr>
        <w:t xml:space="preserve">:  </w:t>
      </w:r>
      <w:r>
        <w:rPr>
          <w:i/>
        </w:rPr>
        <w:t>Two parameter sets in TR 38.821, i.e., set 1 and 2, should be the base line for link budget analysis, and additional sets, i.e., set 3 and 4 can be optional.</w:t>
      </w:r>
    </w:p>
    <w:p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rsidR="00570B35" w:rsidRPr="00A536B4" w:rsidRDefault="00DD33BE" w:rsidP="000938C0">
      <w:pPr>
        <w:pStyle w:val="2222"/>
        <w:numPr>
          <w:ilvl w:val="0"/>
          <w:numId w:val="13"/>
        </w:numPr>
        <w:spacing w:after="120" w:line="288" w:lineRule="auto"/>
        <w:ind w:left="357" w:firstLineChars="0" w:hanging="357"/>
        <w:rPr>
          <w:rFonts w:eastAsia="MS Mincho"/>
          <w:bCs/>
          <w:lang w:eastAsia="ja-JP"/>
        </w:rPr>
      </w:pPr>
      <w:bookmarkStart w:id="5" w:name="_Ref446582201"/>
      <w:r w:rsidRPr="00DD33BE">
        <w:rPr>
          <w:bCs/>
          <w:lang w:eastAsia="ja-JP"/>
        </w:rPr>
        <w:t>RP-193235, New Study WID on NB-IoT/</w:t>
      </w:r>
      <w:proofErr w:type="spellStart"/>
      <w:r w:rsidRPr="00DD33BE">
        <w:rPr>
          <w:bCs/>
          <w:lang w:eastAsia="ja-JP"/>
        </w:rPr>
        <w:t>eTMC</w:t>
      </w:r>
      <w:proofErr w:type="spellEnd"/>
      <w:r w:rsidRPr="00DD33BE">
        <w:rPr>
          <w:bCs/>
          <w:lang w:eastAsia="ja-JP"/>
        </w:rPr>
        <w:t xml:space="preserve"> support for NTN</w:t>
      </w:r>
    </w:p>
    <w:p w:rsidR="00DD33BE" w:rsidRPr="00DD33BE" w:rsidRDefault="00DD33BE" w:rsidP="00472E33">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103e</w:t>
      </w:r>
      <w:r w:rsidRPr="00A536B4">
        <w:rPr>
          <w:bCs/>
          <w:lang w:eastAsia="ja-JP"/>
        </w:rPr>
        <w:t xml:space="preserve"> Chairman’s Notes.</w:t>
      </w:r>
      <w:r>
        <w:rPr>
          <w:bCs/>
          <w:lang w:eastAsia="ja-JP"/>
        </w:rPr>
        <w:t xml:space="preserve"> </w:t>
      </w:r>
    </w:p>
    <w:p w:rsidR="00986ED8" w:rsidRPr="004F6C85" w:rsidRDefault="00DD33BE" w:rsidP="00472E33">
      <w:pPr>
        <w:pStyle w:val="2222"/>
        <w:numPr>
          <w:ilvl w:val="0"/>
          <w:numId w:val="13"/>
        </w:numPr>
        <w:spacing w:after="120" w:line="288" w:lineRule="auto"/>
        <w:ind w:left="357" w:firstLineChars="0" w:hanging="357"/>
        <w:rPr>
          <w:rFonts w:eastAsia="MS Mincho"/>
          <w:bCs/>
          <w:lang w:eastAsia="ja-JP"/>
        </w:rPr>
      </w:pPr>
      <w:r w:rsidRPr="00DD33BE">
        <w:rPr>
          <w:bCs/>
          <w:lang w:eastAsia="ja-JP"/>
        </w:rPr>
        <w:t xml:space="preserve">TR 38.811, Study on New Radio (NR) to support </w:t>
      </w:r>
      <w:proofErr w:type="gramStart"/>
      <w:r w:rsidRPr="00DD33BE">
        <w:rPr>
          <w:bCs/>
          <w:lang w:eastAsia="ja-JP"/>
        </w:rPr>
        <w:t>non terrestrial</w:t>
      </w:r>
      <w:proofErr w:type="gramEnd"/>
      <w:r w:rsidRPr="00DD33BE">
        <w:rPr>
          <w:bCs/>
          <w:lang w:eastAsia="ja-JP"/>
        </w:rPr>
        <w:t xml:space="preserve"> networks.</w:t>
      </w:r>
      <w:bookmarkEnd w:id="5"/>
    </w:p>
    <w:p w:rsidR="000C26B4" w:rsidRPr="00C43E82" w:rsidRDefault="00DD33BE" w:rsidP="000C26B4">
      <w:pPr>
        <w:pStyle w:val="2222"/>
        <w:numPr>
          <w:ilvl w:val="0"/>
          <w:numId w:val="13"/>
        </w:numPr>
        <w:spacing w:after="120" w:line="288" w:lineRule="auto"/>
        <w:ind w:left="357" w:firstLineChars="0" w:hanging="357"/>
        <w:rPr>
          <w:rFonts w:eastAsia="MS Mincho"/>
          <w:bCs/>
          <w:lang w:eastAsia="ja-JP"/>
        </w:rPr>
      </w:pPr>
      <w:r w:rsidRPr="00DD33BE">
        <w:rPr>
          <w:bCs/>
          <w:lang w:eastAsia="ja-JP"/>
        </w:rPr>
        <w:t>R1-2008868</w:t>
      </w:r>
      <w:r w:rsidR="000C26B4">
        <w:rPr>
          <w:bCs/>
          <w:lang w:eastAsia="ja-JP"/>
        </w:rPr>
        <w:t>, “</w:t>
      </w:r>
      <w:r w:rsidRPr="00DD33BE">
        <w:rPr>
          <w:bCs/>
          <w:lang w:eastAsia="ja-JP"/>
        </w:rPr>
        <w:t>Email summary discussion on Scenarios applicable to NB-IoT/</w:t>
      </w:r>
      <w:proofErr w:type="spellStart"/>
      <w:r w:rsidRPr="00DD33BE">
        <w:rPr>
          <w:bCs/>
          <w:lang w:eastAsia="ja-JP"/>
        </w:rPr>
        <w:t>eMTC</w:t>
      </w:r>
      <w:proofErr w:type="spellEnd"/>
      <w:r w:rsidR="000C26B4">
        <w:rPr>
          <w:bCs/>
          <w:lang w:eastAsia="ja-JP"/>
        </w:rPr>
        <w:t xml:space="preserve">,” </w:t>
      </w:r>
      <w:r w:rsidRPr="00DD33BE">
        <w:rPr>
          <w:bCs/>
          <w:lang w:eastAsia="ja-JP"/>
        </w:rPr>
        <w:t>Eutelsat S.A.</w:t>
      </w:r>
      <w:r w:rsidR="000C26B4">
        <w:rPr>
          <w:bCs/>
          <w:lang w:eastAsia="ja-JP"/>
        </w:rPr>
        <w:t>, RAN1#</w:t>
      </w:r>
      <w:r>
        <w:rPr>
          <w:bCs/>
          <w:lang w:eastAsia="ja-JP"/>
        </w:rPr>
        <w:t>103e</w:t>
      </w:r>
      <w:r w:rsidR="000C26B4">
        <w:rPr>
          <w:bCs/>
          <w:lang w:eastAsia="ja-JP"/>
        </w:rPr>
        <w:t>.</w:t>
      </w:r>
    </w:p>
    <w:p w:rsidR="00C43E82" w:rsidRPr="00C2757D" w:rsidRDefault="00C43E82" w:rsidP="00C43E82">
      <w:pPr>
        <w:pStyle w:val="1"/>
        <w:numPr>
          <w:ilvl w:val="0"/>
          <w:numId w:val="0"/>
        </w:numPr>
        <w:spacing w:after="60"/>
        <w:rPr>
          <w:rFonts w:eastAsia="Batang"/>
          <w:color w:val="000000"/>
          <w:lang w:val="pt-BR" w:eastAsia="ko-KR"/>
        </w:rPr>
      </w:pPr>
      <w:r>
        <w:rPr>
          <w:rFonts w:eastAsia="Batang"/>
          <w:color w:val="000000"/>
          <w:lang w:val="pt-BR" w:eastAsia="ko-KR"/>
        </w:rPr>
        <w:t>Appendix</w:t>
      </w:r>
    </w:p>
    <w:p w:rsidR="00C43E82" w:rsidRDefault="00C43E82" w:rsidP="00C43E82">
      <w:pPr>
        <w:rPr>
          <w:lang w:val="en-GB"/>
        </w:rPr>
      </w:pPr>
      <w:r>
        <w:rPr>
          <w:highlight w:val="green"/>
        </w:rPr>
        <w:t>Agreement:</w:t>
      </w:r>
    </w:p>
    <w:p w:rsidR="00C43E82" w:rsidRDefault="00C43E82" w:rsidP="00C43E82">
      <w:r>
        <w:t>IoT NTN scenarios A, B, and C are included in the study as shown below:</w:t>
      </w:r>
      <w:r>
        <w:br/>
      </w:r>
    </w:p>
    <w:tbl>
      <w:tblPr>
        <w:tblW w:w="5000" w:type="pct"/>
        <w:tblCellMar>
          <w:left w:w="0" w:type="dxa"/>
          <w:right w:w="0" w:type="dxa"/>
        </w:tblCellMar>
        <w:tblLook w:val="04A0" w:firstRow="1" w:lastRow="0" w:firstColumn="1" w:lastColumn="0" w:noHBand="0" w:noVBand="1"/>
      </w:tblPr>
      <w:tblGrid>
        <w:gridCol w:w="5584"/>
        <w:gridCol w:w="4037"/>
      </w:tblGrid>
      <w:tr w:rsidR="00C43E82" w:rsidTr="00486E17">
        <w:trPr>
          <w:trHeight w:val="551"/>
        </w:trPr>
        <w:tc>
          <w:tcPr>
            <w:tcW w:w="2902"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rsidR="00C43E82" w:rsidRDefault="00C43E82" w:rsidP="00486E17">
            <w:pPr>
              <w:spacing w:before="100" w:beforeAutospacing="1" w:after="180"/>
              <w:rPr>
                <w:rFonts w:ascii="Times" w:eastAsia="Calibri" w:hAnsi="Times"/>
                <w:b/>
                <w:bCs/>
                <w:lang w:val="en-GB"/>
              </w:rPr>
            </w:pPr>
            <w:r>
              <w:rPr>
                <w:b/>
                <w:bCs/>
                <w:lang w:eastAsia="x-none"/>
              </w:rPr>
              <w:t xml:space="preserve">NTN Configurations </w:t>
            </w:r>
          </w:p>
        </w:tc>
        <w:tc>
          <w:tcPr>
            <w:tcW w:w="2098"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rsidR="00C43E82" w:rsidRDefault="00C43E82" w:rsidP="00486E17">
            <w:pPr>
              <w:spacing w:after="180"/>
              <w:ind w:left="284"/>
              <w:jc w:val="center"/>
              <w:rPr>
                <w:rFonts w:eastAsia="Batang"/>
              </w:rPr>
            </w:pPr>
            <w:r>
              <w:rPr>
                <w:b/>
                <w:bCs/>
                <w:lang w:eastAsia="x-none"/>
              </w:rPr>
              <w:t>Transparent satellite</w:t>
            </w:r>
          </w:p>
        </w:tc>
      </w:tr>
      <w:tr w:rsidR="00C43E82" w:rsidTr="00486E17">
        <w:trPr>
          <w:trHeight w:val="567"/>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rsidR="00C43E82" w:rsidRDefault="00C43E82" w:rsidP="00486E17">
            <w:pPr>
              <w:spacing w:before="100" w:beforeAutospacing="1" w:after="180"/>
            </w:pPr>
            <w:r>
              <w:rPr>
                <w:lang w:eastAsia="x-none"/>
              </w:rPr>
              <w:lastRenderedPageBreak/>
              <w:t xml:space="preserve">GEO based non-terrestrial access network </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rsidR="00C43E82" w:rsidRDefault="00C43E82" w:rsidP="00486E17">
            <w:pPr>
              <w:spacing w:after="180"/>
              <w:ind w:left="284"/>
              <w:jc w:val="center"/>
            </w:pPr>
            <w:r>
              <w:rPr>
                <w:lang w:eastAsia="x-none"/>
              </w:rPr>
              <w:t>Scenario A</w:t>
            </w:r>
          </w:p>
        </w:tc>
      </w:tr>
      <w:tr w:rsidR="00C43E82" w:rsidTr="00486E17">
        <w:trPr>
          <w:trHeight w:val="680"/>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rsidR="00C43E82" w:rsidRDefault="00C43E82" w:rsidP="00486E17">
            <w:pPr>
              <w:spacing w:before="100" w:beforeAutospacing="1" w:after="180"/>
            </w:pPr>
            <w:r>
              <w:rPr>
                <w:lang w:eastAsia="x-none"/>
              </w:rPr>
              <w:t>LEO based non-terrestrial access network generating steerable beams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rsidR="00C43E82" w:rsidRDefault="00C43E82" w:rsidP="00486E17">
            <w:pPr>
              <w:spacing w:after="180"/>
              <w:ind w:left="284"/>
              <w:jc w:val="center"/>
            </w:pPr>
            <w:r>
              <w:rPr>
                <w:lang w:eastAsia="x-none"/>
              </w:rPr>
              <w:t>Scenario B</w:t>
            </w:r>
          </w:p>
        </w:tc>
      </w:tr>
      <w:tr w:rsidR="00C43E82" w:rsidTr="00486E17">
        <w:trPr>
          <w:trHeight w:val="872"/>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rsidR="00C43E82" w:rsidRDefault="00C43E82" w:rsidP="00486E17">
            <w:pPr>
              <w:spacing w:before="100" w:beforeAutospacing="1" w:after="180"/>
            </w:pPr>
            <w:r>
              <w:rPr>
                <w:color w:val="000000"/>
                <w:lang w:eastAsia="x-none"/>
              </w:rPr>
              <w:t>LEO based non-terrestrial access network generating fixed beams whose footprints move with the satellite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rsidR="00C43E82" w:rsidRDefault="00C43E82" w:rsidP="00486E17">
            <w:pPr>
              <w:spacing w:after="180"/>
              <w:ind w:left="284"/>
              <w:jc w:val="center"/>
            </w:pPr>
            <w:r>
              <w:rPr>
                <w:lang w:eastAsia="x-none"/>
              </w:rPr>
              <w:t>Scenario C</w:t>
            </w:r>
          </w:p>
        </w:tc>
      </w:tr>
    </w:tbl>
    <w:p w:rsidR="00C43E82" w:rsidRDefault="00C43E82" w:rsidP="00C43E82">
      <w:pPr>
        <w:spacing w:before="100" w:beforeAutospacing="1" w:after="100" w:afterAutospacing="1"/>
        <w:rPr>
          <w:rFonts w:ascii="Times" w:eastAsia="Calibri" w:hAnsi="Times"/>
          <w:lang w:val="en-GB"/>
        </w:rPr>
      </w:pPr>
    </w:p>
    <w:p w:rsidR="00C43E82" w:rsidRDefault="00C43E82" w:rsidP="00C43E82">
      <w:r>
        <w:rPr>
          <w:highlight w:val="green"/>
        </w:rPr>
        <w:t>Agreement:</w:t>
      </w:r>
    </w:p>
    <w:p w:rsidR="00C43E82" w:rsidRDefault="00C43E82" w:rsidP="00C43E82">
      <w:pPr>
        <w:rPr>
          <w:rFonts w:eastAsia="Batang"/>
        </w:rPr>
      </w:pPr>
      <w:r>
        <w:t>The following IoT NTN reference scenario parameters are agreed:</w:t>
      </w:r>
    </w:p>
    <w:tbl>
      <w:tblPr>
        <w:tblW w:w="5000" w:type="pct"/>
        <w:tblCellMar>
          <w:left w:w="0" w:type="dxa"/>
          <w:right w:w="0" w:type="dxa"/>
        </w:tblCellMar>
        <w:tblLook w:val="04A0" w:firstRow="1" w:lastRow="0" w:firstColumn="1" w:lastColumn="0" w:noHBand="0" w:noVBand="1"/>
      </w:tblPr>
      <w:tblGrid>
        <w:gridCol w:w="2284"/>
        <w:gridCol w:w="2476"/>
        <w:gridCol w:w="4861"/>
      </w:tblGrid>
      <w:tr w:rsidR="00C43E82" w:rsidTr="00486E17">
        <w:trPr>
          <w:trHeight w:val="422"/>
        </w:trPr>
        <w:tc>
          <w:tcPr>
            <w:tcW w:w="1187" w:type="pct"/>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Scenarios</w:t>
            </w:r>
          </w:p>
        </w:tc>
        <w:tc>
          <w:tcPr>
            <w:tcW w:w="1287"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rPr>
                <w:rFonts w:ascii="Times" w:hAnsi="Times"/>
                <w:lang w:val="en-GB"/>
              </w:rPr>
            </w:pPr>
            <w:r>
              <w:rPr>
                <w:color w:val="000000"/>
              </w:rPr>
              <w:t xml:space="preserve">GEO based non-terrestrial access network - scenario A </w:t>
            </w:r>
          </w:p>
        </w:tc>
        <w:tc>
          <w:tcPr>
            <w:tcW w:w="2526"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LEO based non-terrestrial access network -Scenario B &amp; C</w:t>
            </w:r>
          </w:p>
        </w:tc>
      </w:tr>
      <w:tr w:rsidR="00C43E82" w:rsidTr="00486E17">
        <w:trPr>
          <w:trHeight w:val="422"/>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Orbit type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 xml:space="preserve">station keeping a nominally fixed position in terms of elevation/azimuth with respect to a given earth point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circular orbiting at low altitude around the earth</w:t>
            </w:r>
          </w:p>
        </w:tc>
      </w:tr>
      <w:tr w:rsidR="00C43E82" w:rsidTr="00486E17">
        <w:trPr>
          <w:trHeight w:val="531"/>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Altitude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35,786 km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 xml:space="preserve">600 km </w:t>
            </w:r>
          </w:p>
          <w:p w:rsidR="00C43E82" w:rsidRDefault="00C43E82" w:rsidP="00486E17">
            <w:pPr>
              <w:spacing w:before="100" w:beforeAutospacing="1" w:after="100" w:afterAutospacing="1"/>
              <w:ind w:right="2292"/>
            </w:pPr>
            <w:r>
              <w:t xml:space="preserve">1,200 km </w:t>
            </w:r>
          </w:p>
        </w:tc>
      </w:tr>
      <w:tr w:rsidR="00C43E82" w:rsidTr="00486E17">
        <w:trPr>
          <w:trHeight w:val="239"/>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 xml:space="preserve">Frequency </w:t>
            </w:r>
            <w:proofErr w:type="gramStart"/>
            <w:r>
              <w:t>Range  (</w:t>
            </w:r>
            <w:proofErr w:type="gramEnd"/>
            <w:r>
              <w:t>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 xml:space="preserve">&lt; 6 GHz (e.g. 2 GHz in S band) </w:t>
            </w:r>
          </w:p>
        </w:tc>
      </w:tr>
      <w:tr w:rsidR="00C43E82" w:rsidTr="00486E17">
        <w:trPr>
          <w:trHeight w:val="844"/>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 xml:space="preserve">Device channel </w:t>
            </w:r>
            <w:proofErr w:type="gramStart"/>
            <w:r>
              <w:t>Bandwidth  (</w:t>
            </w:r>
            <w:proofErr w:type="gramEnd"/>
            <w:r>
              <w:t>service link) (NOTE 7)</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C43E82">
            <w:pPr>
              <w:widowControl/>
              <w:numPr>
                <w:ilvl w:val="0"/>
                <w:numId w:val="29"/>
              </w:numPr>
              <w:wordWrap/>
              <w:autoSpaceDE/>
              <w:autoSpaceDN/>
              <w:spacing w:before="100" w:beforeAutospacing="1" w:after="100" w:afterAutospacing="1"/>
              <w:rPr>
                <w:color w:val="000000"/>
              </w:rPr>
            </w:pPr>
            <w:r>
              <w:rPr>
                <w:color w:val="000000"/>
              </w:rPr>
              <w:t>NB-IoT 180 kHz (DL), Up to 180 kHz with all permissible smaller resource allocations 12*15 kHz, 6*15 kHz, 3*15 kHz, 1*15 kHz, 1*3.75 kHz</w:t>
            </w:r>
          </w:p>
          <w:p w:rsidR="00C43E82" w:rsidRDefault="00C43E82" w:rsidP="00C43E82">
            <w:pPr>
              <w:widowControl/>
              <w:numPr>
                <w:ilvl w:val="0"/>
                <w:numId w:val="29"/>
              </w:numPr>
              <w:wordWrap/>
              <w:autoSpaceDE/>
              <w:autoSpaceDN/>
              <w:spacing w:before="100" w:beforeAutospacing="1" w:after="100" w:afterAutospacing="1"/>
              <w:rPr>
                <w:color w:val="000000"/>
              </w:rPr>
            </w:pPr>
            <w:proofErr w:type="spellStart"/>
            <w:r>
              <w:rPr>
                <w:color w:val="000000"/>
              </w:rPr>
              <w:t>eMTC</w:t>
            </w:r>
            <w:proofErr w:type="spellEnd"/>
            <w:r>
              <w:rPr>
                <w:color w:val="000000"/>
              </w:rPr>
              <w:t xml:space="preserve">: 1080 kHz (DL), Up to 1080 kHz with all permissible smaller resource </w:t>
            </w:r>
            <w:proofErr w:type="gramStart"/>
            <w:r>
              <w:rPr>
                <w:color w:val="000000"/>
              </w:rPr>
              <w:t>allocations ,</w:t>
            </w:r>
            <w:proofErr w:type="gramEnd"/>
            <w:r>
              <w:rPr>
                <w:color w:val="000000"/>
              </w:rPr>
              <w:t xml:space="preserve"> including 2*180 kHz, 180 kHz, 2*15 kHz or 3*15 kHz or 6*15 kHz  (UL)</w:t>
            </w:r>
          </w:p>
        </w:tc>
      </w:tr>
      <w:tr w:rsidR="00C43E82" w:rsidTr="00486E17">
        <w:trPr>
          <w:trHeight w:val="239"/>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rPr>
                <w:rFonts w:eastAsia="Calibri"/>
              </w:rPr>
            </w:pPr>
            <w:r>
              <w:t>Payload</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rPr>
                <w:rFonts w:eastAsia="Batang"/>
              </w:rPr>
            </w:pPr>
            <w:r>
              <w:rPr>
                <w:color w:val="000000"/>
              </w:rPr>
              <w:t>Transparent type</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Transparent Type</w:t>
            </w:r>
          </w:p>
        </w:tc>
      </w:tr>
      <w:tr w:rsidR="00C43E82" w:rsidTr="00486E17">
        <w:trPr>
          <w:trHeight w:val="47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Earth-fixed beams</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Yes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Scenario B:  Yes (steerable beams), see NOTE 1</w:t>
            </w:r>
          </w:p>
          <w:p w:rsidR="00C43E82" w:rsidRDefault="00C43E82" w:rsidP="00486E17">
            <w:pPr>
              <w:spacing w:before="100" w:beforeAutospacing="1" w:after="100" w:afterAutospacing="1"/>
            </w:pPr>
            <w:r>
              <w:t xml:space="preserve">Scenario C: </w:t>
            </w:r>
            <w:proofErr w:type="gramStart"/>
            <w:r>
              <w:t>No  (</w:t>
            </w:r>
            <w:proofErr w:type="gramEnd"/>
            <w:r>
              <w:t>the beams move with the satellite)</w:t>
            </w:r>
          </w:p>
        </w:tc>
      </w:tr>
      <w:tr w:rsidR="00C43E82" w:rsidTr="00486E17">
        <w:trPr>
          <w:trHeight w:val="76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Max beam foot print size (edge to edge) regardless of the elevation angle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3500 km (NOTE 3)</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 xml:space="preserve">1000 </w:t>
            </w:r>
            <w:proofErr w:type="gramStart"/>
            <w:r>
              <w:t>km  (</w:t>
            </w:r>
            <w:proofErr w:type="gramEnd"/>
            <w:r>
              <w:t>NOTE 2)</w:t>
            </w:r>
          </w:p>
        </w:tc>
      </w:tr>
      <w:tr w:rsidR="00C43E82" w:rsidTr="00486E17">
        <w:trPr>
          <w:trHeight w:val="422"/>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Min Elevation angle for both sat-gateway and C-IoT device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10° for service link and 10° for feeder link</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10° for service link and 10° for feeder link</w:t>
            </w:r>
          </w:p>
        </w:tc>
      </w:tr>
      <w:tr w:rsidR="00C43E82" w:rsidTr="00486E17">
        <w:trPr>
          <w:trHeight w:val="874"/>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 xml:space="preserve">Max distance between satellite and C-IoT device at min elevation angle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 xml:space="preserve"> 40,581 km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lang w:val="da-DK"/>
              </w:rPr>
              <w:t xml:space="preserve"> 1,932 km (600 km altitude) </w:t>
            </w:r>
          </w:p>
          <w:p w:rsidR="00C43E82" w:rsidRDefault="00C43E82" w:rsidP="00486E17">
            <w:pPr>
              <w:spacing w:before="100" w:beforeAutospacing="1" w:after="100" w:afterAutospacing="1"/>
            </w:pPr>
            <w:r>
              <w:rPr>
                <w:lang w:val="da-DK"/>
              </w:rPr>
              <w:t xml:space="preserve"> 3,131 km (1,200 km altitude) </w:t>
            </w:r>
          </w:p>
        </w:tc>
      </w:tr>
      <w:tr w:rsidR="00C43E82" w:rsidTr="00486E17">
        <w:trPr>
          <w:trHeight w:val="80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 xml:space="preserve">Max Round Trip Delay (propagation delay only)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 541.46ms (service and feeder links)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 xml:space="preserve">25.77 </w:t>
            </w:r>
            <w:proofErr w:type="spellStart"/>
            <w:r>
              <w:t>ms</w:t>
            </w:r>
            <w:proofErr w:type="spellEnd"/>
            <w:r>
              <w:t xml:space="preserve"> (600km) (service and feeder links)</w:t>
            </w:r>
          </w:p>
          <w:p w:rsidR="00C43E82" w:rsidRDefault="00C43E82" w:rsidP="00486E17">
            <w:pPr>
              <w:spacing w:before="100" w:beforeAutospacing="1" w:after="100" w:afterAutospacing="1"/>
            </w:pPr>
            <w:r>
              <w:t xml:space="preserve">41.77 </w:t>
            </w:r>
            <w:proofErr w:type="spellStart"/>
            <w:r>
              <w:t>ms</w:t>
            </w:r>
            <w:proofErr w:type="spellEnd"/>
            <w:r>
              <w:t xml:space="preserve"> (1200km) (service and feeder links)</w:t>
            </w:r>
          </w:p>
        </w:tc>
      </w:tr>
      <w:tr w:rsidR="00C43E82" w:rsidTr="00486E17">
        <w:trPr>
          <w:trHeight w:val="14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line="148" w:lineRule="atLeast"/>
            </w:pPr>
            <w:r>
              <w:t xml:space="preserve">Max differential delay within a cell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line="148" w:lineRule="atLeast"/>
            </w:pPr>
            <w:r>
              <w:rPr>
                <w:color w:val="000000"/>
              </w:rPr>
              <w:t xml:space="preserve">10.3 </w:t>
            </w:r>
            <w:proofErr w:type="spellStart"/>
            <w:r>
              <w:rPr>
                <w:color w:val="000000"/>
              </w:rPr>
              <w:t>ms</w:t>
            </w:r>
            <w:proofErr w:type="spellEnd"/>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line="148" w:lineRule="atLeast"/>
              <w:ind w:right="307"/>
            </w:pPr>
            <w:r>
              <w:t xml:space="preserve">3.12 </w:t>
            </w:r>
            <w:proofErr w:type="spellStart"/>
            <w:r>
              <w:t>ms</w:t>
            </w:r>
            <w:proofErr w:type="spellEnd"/>
            <w:r>
              <w:t xml:space="preserve"> and 3.18 </w:t>
            </w:r>
            <w:proofErr w:type="spellStart"/>
            <w:r>
              <w:t>ms</w:t>
            </w:r>
            <w:proofErr w:type="spellEnd"/>
            <w:r>
              <w:t xml:space="preserve"> for respectively 600km and 1200km</w:t>
            </w:r>
          </w:p>
        </w:tc>
      </w:tr>
      <w:tr w:rsidR="00C43E82" w:rsidTr="00486E17">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lastRenderedPageBreak/>
              <w:t>Max Doppler shift (earth fixed user equipment) (NOTE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0.93 ppm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 xml:space="preserve">24 ppm (600km) </w:t>
            </w:r>
          </w:p>
          <w:p w:rsidR="00C43E82" w:rsidRDefault="00C43E82" w:rsidP="00486E17">
            <w:pPr>
              <w:spacing w:before="100" w:beforeAutospacing="1" w:after="100" w:afterAutospacing="1"/>
            </w:pPr>
            <w:r>
              <w:t xml:space="preserve"> 21ppm(1200km) </w:t>
            </w:r>
          </w:p>
          <w:p w:rsidR="00C43E82" w:rsidRDefault="00C43E82" w:rsidP="00486E17">
            <w:pPr>
              <w:spacing w:before="100" w:beforeAutospacing="1" w:after="100" w:afterAutospacing="1"/>
            </w:pPr>
            <w:r>
              <w:t> </w:t>
            </w:r>
          </w:p>
        </w:tc>
      </w:tr>
      <w:tr w:rsidR="00C43E82" w:rsidTr="00486E17">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 xml:space="preserve">Max Doppler shift variation (earth fixed user </w:t>
            </w:r>
            <w:proofErr w:type="gramStart"/>
            <w:r>
              <w:t>equipment)  (</w:t>
            </w:r>
            <w:proofErr w:type="gramEnd"/>
            <w:r>
              <w:t>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 xml:space="preserve">0.000 045 ppm/s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  0.27 ppm/</w:t>
            </w:r>
            <w:proofErr w:type="gramStart"/>
            <w:r>
              <w:t>s  (</w:t>
            </w:r>
            <w:proofErr w:type="gramEnd"/>
            <w:r>
              <w:t xml:space="preserve">600km) </w:t>
            </w:r>
          </w:p>
          <w:p w:rsidR="00C43E82" w:rsidRDefault="00C43E82" w:rsidP="00486E17">
            <w:pPr>
              <w:spacing w:before="100" w:beforeAutospacing="1" w:after="100" w:afterAutospacing="1"/>
            </w:pPr>
            <w:r>
              <w:t>  0.13 ppm/</w:t>
            </w:r>
            <w:proofErr w:type="gramStart"/>
            <w:r>
              <w:t>s  (</w:t>
            </w:r>
            <w:proofErr w:type="gramEnd"/>
            <w:r>
              <w:t xml:space="preserve">1200km) </w:t>
            </w:r>
          </w:p>
        </w:tc>
      </w:tr>
      <w:tr w:rsidR="00C43E82" w:rsidTr="00486E17">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C-IoT device motion on the earth</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 xml:space="preserve">Min 0 km/s (stationary device), max 120 km/h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Min 0 km/s (stationary device), max 120 km/h</w:t>
            </w:r>
          </w:p>
        </w:tc>
      </w:tr>
      <w:tr w:rsidR="00C43E82" w:rsidTr="00486E17">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C-IoT device antenna types</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 xml:space="preserve">Omnidirectional antenna with 0 </w:t>
            </w:r>
            <w:proofErr w:type="spellStart"/>
            <w:r>
              <w:rPr>
                <w:color w:val="000000"/>
              </w:rPr>
              <w:t>dBi</w:t>
            </w:r>
            <w:proofErr w:type="spellEnd"/>
            <w:r>
              <w:rPr>
                <w:color w:val="000000"/>
              </w:rPr>
              <w:t xml:space="preserve"> TX antenna gain and 0 </w:t>
            </w:r>
            <w:proofErr w:type="spellStart"/>
            <w:r>
              <w:rPr>
                <w:color w:val="000000"/>
              </w:rPr>
              <w:t>dBi</w:t>
            </w:r>
            <w:proofErr w:type="spellEnd"/>
            <w:r>
              <w:rPr>
                <w:color w:val="000000"/>
              </w:rPr>
              <w:t xml:space="preserve"> RX antenna </w:t>
            </w:r>
            <w:proofErr w:type="gramStart"/>
            <w:r>
              <w:rPr>
                <w:color w:val="000000"/>
              </w:rPr>
              <w:t>gain  (</w:t>
            </w:r>
            <w:proofErr w:type="gramEnd"/>
            <w:r>
              <w:rPr>
                <w:color w:val="000000"/>
              </w:rPr>
              <w:t xml:space="preserve">NOTE 4) </w:t>
            </w:r>
          </w:p>
        </w:tc>
      </w:tr>
      <w:tr w:rsidR="00C43E82" w:rsidTr="00486E17">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C-IoT device max Tx power</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 xml:space="preserve">UE power class 3 with up to 200 </w:t>
            </w:r>
            <w:proofErr w:type="spellStart"/>
            <w:r>
              <w:rPr>
                <w:color w:val="000000"/>
              </w:rPr>
              <w:t>mW</w:t>
            </w:r>
            <w:proofErr w:type="spellEnd"/>
            <w:r>
              <w:rPr>
                <w:color w:val="000000"/>
              </w:rPr>
              <w:t xml:space="preserve"> (23dBm), UE power class 5 with up to 100 </w:t>
            </w:r>
            <w:proofErr w:type="spellStart"/>
            <w:r>
              <w:rPr>
                <w:color w:val="000000"/>
              </w:rPr>
              <w:t>mW</w:t>
            </w:r>
            <w:proofErr w:type="spellEnd"/>
            <w:r>
              <w:rPr>
                <w:color w:val="000000"/>
              </w:rPr>
              <w:t xml:space="preserve"> (20 dBm) </w:t>
            </w:r>
          </w:p>
        </w:tc>
      </w:tr>
      <w:tr w:rsidR="00C43E82" w:rsidTr="00486E17">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t>C-IoT device Noise Figure</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pPr>
            <w:r>
              <w:rPr>
                <w:color w:val="000000"/>
              </w:rPr>
              <w:t xml:space="preserve">Omnidirectional antenna: 7 dB or 9 </w:t>
            </w:r>
            <w:proofErr w:type="gramStart"/>
            <w:r>
              <w:rPr>
                <w:color w:val="000000"/>
              </w:rPr>
              <w:t>dB  (</w:t>
            </w:r>
            <w:proofErr w:type="gramEnd"/>
            <w:r>
              <w:rPr>
                <w:color w:val="000000"/>
              </w:rPr>
              <w:t>NOTE 5)</w:t>
            </w:r>
          </w:p>
        </w:tc>
      </w:tr>
      <w:tr w:rsidR="00C43E82" w:rsidTr="00486E17">
        <w:trPr>
          <w:trHeight w:val="14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line="148" w:lineRule="atLeast"/>
            </w:pPr>
            <w:r>
              <w:t>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rsidR="00C43E82" w:rsidRDefault="00C43E82" w:rsidP="00486E17">
            <w:pPr>
              <w:spacing w:before="100" w:beforeAutospacing="1" w:after="100" w:afterAutospacing="1" w:line="148" w:lineRule="atLeast"/>
            </w:pPr>
            <w:r>
              <w:rPr>
                <w:color w:val="000000"/>
              </w:rPr>
              <w:t xml:space="preserve">3GPP defined Narrow Band IoT and </w:t>
            </w:r>
            <w:proofErr w:type="spellStart"/>
            <w:r>
              <w:rPr>
                <w:color w:val="000000"/>
              </w:rPr>
              <w:t>eMTC</w:t>
            </w:r>
            <w:proofErr w:type="spellEnd"/>
          </w:p>
        </w:tc>
      </w:tr>
    </w:tbl>
    <w:p w:rsidR="00C43E82" w:rsidRDefault="00C43E82" w:rsidP="00C43E82">
      <w:pPr>
        <w:pStyle w:val="tan0"/>
      </w:pPr>
      <w:r>
        <w:t xml:space="preserve">NOTE 1:    Each satellite has the capability to steer beams </w:t>
      </w:r>
      <w:r>
        <w:rPr>
          <w:b/>
          <w:bCs/>
        </w:rPr>
        <w:t>towards fixed points on earth</w:t>
      </w:r>
      <w:r>
        <w:t xml:space="preserve"> using beamforming techniques. This is applicable for a period of time corresponding to the visibility time of the satellite.</w:t>
      </w:r>
    </w:p>
    <w:p w:rsidR="00C43E82" w:rsidRDefault="00C43E82" w:rsidP="00C43E82">
      <w:pPr>
        <w:pStyle w:val="tan0"/>
      </w:pPr>
      <w:r>
        <w:t xml:space="preserve">NOTE 2:   This beam size refers to the Nadir pointing of the satellite.  </w:t>
      </w:r>
    </w:p>
    <w:p w:rsidR="00C43E82" w:rsidRDefault="00C43E82" w:rsidP="00C43E82">
      <w:pPr>
        <w:pStyle w:val="tan0"/>
      </w:pPr>
      <w:r>
        <w:t>NOTE 3: The Maximum beam foot print size for GEO is based on current state of the art GEO High Throughput systems, assuming either spot beams at the edge of coverage (low elevation) or a single wide-beam.</w:t>
      </w:r>
    </w:p>
    <w:p w:rsidR="00C43E82" w:rsidRDefault="00C43E82" w:rsidP="00C43E82">
      <w:pPr>
        <w:pStyle w:val="tan0"/>
      </w:pPr>
      <w:r>
        <w:t>NOTE 4: The use of a Circular polarized antenna is optional.</w:t>
      </w:r>
    </w:p>
    <w:p w:rsidR="00C43E82" w:rsidRDefault="00C43E82" w:rsidP="00C43E82">
      <w:pPr>
        <w:pStyle w:val="tan0"/>
      </w:pPr>
      <w:r>
        <w:rPr>
          <w:color w:val="000000"/>
        </w:rPr>
        <w:t xml:space="preserve">NOTE 5: Same </w:t>
      </w:r>
      <w:r>
        <w:t xml:space="preserve">Noise Figure of 7 dB as in Release 16 TR 38.821 or 9 dB as in Release 12 TR </w:t>
      </w:r>
      <w:proofErr w:type="gramStart"/>
      <w:r>
        <w:t>36.888  for</w:t>
      </w:r>
      <w:proofErr w:type="gramEnd"/>
      <w:r>
        <w:t xml:space="preserve"> device can be assumed for link budget. The noise figure is device vendor implementation specific.  </w:t>
      </w:r>
    </w:p>
    <w:p w:rsidR="00C43E82" w:rsidRDefault="00C43E82" w:rsidP="00C43E82">
      <w:pPr>
        <w:pStyle w:val="tan0"/>
      </w:pPr>
      <w:r>
        <w:t>NOTE 6: Max Doppler shift and Max Doppler shift variation in the absence of any device pre-compensation of satellite Doppler shift on the service link.</w:t>
      </w:r>
    </w:p>
    <w:p w:rsidR="00C43E82" w:rsidRDefault="00C43E82" w:rsidP="00C43E82">
      <w:pPr>
        <w:pStyle w:val="tan0"/>
      </w:pPr>
      <w:r>
        <w:t xml:space="preserve">NOTE 7: System </w:t>
      </w:r>
      <w:r>
        <w:rPr>
          <w:color w:val="000000"/>
        </w:rPr>
        <w:t xml:space="preserve">bandwidth is FFS </w:t>
      </w:r>
    </w:p>
    <w:p w:rsidR="00C43E82" w:rsidRPr="008B5DA3" w:rsidRDefault="00C43E82" w:rsidP="00C43E82">
      <w:pPr>
        <w:pStyle w:val="2222"/>
        <w:spacing w:after="120" w:line="288" w:lineRule="auto"/>
        <w:ind w:firstLineChars="0" w:firstLine="0"/>
        <w:rPr>
          <w:rFonts w:eastAsia="MS Mincho"/>
          <w:bCs/>
          <w:lang w:eastAsia="ja-JP"/>
        </w:rPr>
      </w:pPr>
    </w:p>
    <w:sectPr w:rsidR="00C43E82"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0C00" w:rsidRPr="00C47AD2" w:rsidRDefault="00AC0C00">
      <w:pPr>
        <w:rPr>
          <w:rFonts w:ascii="Arial" w:hAnsi="Arial"/>
          <w:sz w:val="12"/>
        </w:rPr>
      </w:pPr>
      <w:r>
        <w:separator/>
      </w:r>
    </w:p>
  </w:endnote>
  <w:endnote w:type="continuationSeparator" w:id="0">
    <w:p w:rsidR="00AC0C00" w:rsidRPr="00C47AD2" w:rsidRDefault="00AC0C0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4D4" w:rsidRDefault="001514D4" w:rsidP="00120DAA">
    <w:pPr>
      <w:pStyle w:val="a6"/>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rsidR="001514D4" w:rsidRDefault="001514D4"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4D4" w:rsidRDefault="001514D4">
    <w:pPr>
      <w:pStyle w:val="a6"/>
    </w:pPr>
    <w:r>
      <w:fldChar w:fldCharType="begin"/>
    </w:r>
    <w:r>
      <w:instrText xml:space="preserve"> PAGE   \* MERGEFORMAT </w:instrText>
    </w:r>
    <w:r>
      <w:fldChar w:fldCharType="separate"/>
    </w:r>
    <w:r w:rsidR="00F809D8">
      <w:t>1</w:t>
    </w:r>
    <w:r>
      <w:fldChar w:fldCharType="end"/>
    </w:r>
  </w:p>
  <w:p w:rsidR="001514D4" w:rsidRDefault="001514D4"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0C00" w:rsidRPr="00C47AD2" w:rsidRDefault="00AC0C00">
      <w:pPr>
        <w:rPr>
          <w:rFonts w:ascii="Arial" w:hAnsi="Arial"/>
          <w:sz w:val="12"/>
        </w:rPr>
      </w:pPr>
      <w:r>
        <w:separator/>
      </w:r>
    </w:p>
  </w:footnote>
  <w:footnote w:type="continuationSeparator" w:id="0">
    <w:p w:rsidR="00AC0C00" w:rsidRPr="00C47AD2" w:rsidRDefault="00AC0C00">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934959"/>
    <w:multiLevelType w:val="hybridMultilevel"/>
    <w:tmpl w:val="3FC241F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75D6A9D"/>
    <w:multiLevelType w:val="hybridMultilevel"/>
    <w:tmpl w:val="CE705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4"/>
  </w:num>
  <w:num w:numId="6">
    <w:abstractNumId w:val="28"/>
  </w:num>
  <w:num w:numId="7">
    <w:abstractNumId w:val="15"/>
  </w:num>
  <w:num w:numId="8">
    <w:abstractNumId w:val="13"/>
  </w:num>
  <w:num w:numId="9">
    <w:abstractNumId w:val="24"/>
  </w:num>
  <w:num w:numId="10">
    <w:abstractNumId w:val="2"/>
  </w:num>
  <w:num w:numId="11">
    <w:abstractNumId w:val="4"/>
  </w:num>
  <w:num w:numId="12">
    <w:abstractNumId w:val="26"/>
  </w:num>
  <w:num w:numId="13">
    <w:abstractNumId w:val="1"/>
  </w:num>
  <w:num w:numId="14">
    <w:abstractNumId w:val="11"/>
  </w:num>
  <w:num w:numId="15">
    <w:abstractNumId w:val="20"/>
  </w:num>
  <w:num w:numId="16">
    <w:abstractNumId w:val="16"/>
  </w:num>
  <w:num w:numId="17">
    <w:abstractNumId w:val="18"/>
  </w:num>
  <w:num w:numId="18">
    <w:abstractNumId w:val="23"/>
  </w:num>
  <w:num w:numId="19">
    <w:abstractNumId w:val="10"/>
  </w:num>
  <w:num w:numId="20">
    <w:abstractNumId w:val="3"/>
  </w:num>
  <w:num w:numId="21">
    <w:abstractNumId w:val="19"/>
  </w:num>
  <w:num w:numId="22">
    <w:abstractNumId w:val="5"/>
  </w:num>
  <w:num w:numId="23">
    <w:abstractNumId w:val="6"/>
  </w:num>
  <w:num w:numId="24">
    <w:abstractNumId w:val="7"/>
  </w:num>
  <w:num w:numId="25">
    <w:abstractNumId w:val="25"/>
  </w:num>
  <w:num w:numId="26">
    <w:abstractNumId w:val="27"/>
  </w:num>
  <w:num w:numId="27">
    <w:abstractNumId w:val="17"/>
  </w:num>
  <w:num w:numId="28">
    <w:abstractNumId w:val="12"/>
  </w:num>
  <w:num w:numId="29">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C8E"/>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BD1"/>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8C0"/>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41"/>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67"/>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235"/>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D3"/>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2ED0"/>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730"/>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1DE2"/>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7F7"/>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0A0"/>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4C6"/>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35"/>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163"/>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E24"/>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2E6"/>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8A5"/>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55"/>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6E8E"/>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372"/>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B35"/>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6"/>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74C"/>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9A3"/>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BE5"/>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AAD"/>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D4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19"/>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708"/>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EC0"/>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DE4"/>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3E86"/>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A"/>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3F89"/>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5E3"/>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1B4"/>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32B"/>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AA"/>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C86"/>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0C00"/>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1CE"/>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C3"/>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A7"/>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3"/>
    <w:rsid w:val="00BC4A3C"/>
    <w:rsid w:val="00BC4AD8"/>
    <w:rsid w:val="00BC5059"/>
    <w:rsid w:val="00BC527B"/>
    <w:rsid w:val="00BC528C"/>
    <w:rsid w:val="00BC5426"/>
    <w:rsid w:val="00BC57D3"/>
    <w:rsid w:val="00BC5C55"/>
    <w:rsid w:val="00BC5D52"/>
    <w:rsid w:val="00BC6162"/>
    <w:rsid w:val="00BC6297"/>
    <w:rsid w:val="00BC645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97F"/>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3DB"/>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37D3B"/>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3E82"/>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6BAF"/>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A80"/>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1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3BE"/>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3E52"/>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05C"/>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280"/>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A53"/>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3D0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16E"/>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6B9"/>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9D8"/>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2D8C69B"/>
  <w15:chartTrackingRefBased/>
  <w15:docId w15:val="{01E286B5-941F-4AD3-ACAE-F5D50500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0"/>
    <w:qFormat/>
    <w:pPr>
      <w:numPr>
        <w:ilvl w:val="1"/>
      </w:numPr>
      <w:spacing w:before="180"/>
      <w:outlineLvl w:val="1"/>
    </w:pPr>
    <w:rPr>
      <w:sz w:val="32"/>
    </w:rPr>
  </w:style>
  <w:style w:type="paragraph" w:styleId="3">
    <w:name w:val="heading 3"/>
    <w:aliases w:val="Underrubrik2,H3,no break,Memo Heading 3"/>
    <w:basedOn w:val="2"/>
    <w:next w:val="a0"/>
    <w:link w:val="3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a5"/>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pPr>
  </w:style>
  <w:style w:type="paragraph" w:styleId="21">
    <w:name w:val="index 2"/>
    <w:basedOn w:val="10"/>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b"/>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e">
    <w:name w:val="caption"/>
    <w:aliases w:val="cap,cap Char"/>
    <w:basedOn w:val="a0"/>
    <w:next w:val="a0"/>
    <w:link w:val="af"/>
    <w:qFormat/>
    <w:pPr>
      <w:spacing w:before="120" w:after="120"/>
    </w:pPr>
    <w:rPr>
      <w:b/>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1"/>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5">
    <w:name w:val="Body Text Indent"/>
    <w:basedOn w:val="a0"/>
    <w:pPr>
      <w:adjustRightInd w:val="0"/>
      <w:ind w:left="1288"/>
      <w:jc w:val="both"/>
      <w:textAlignment w:val="baseline"/>
    </w:pPr>
    <w:rPr>
      <w:rFonts w:ascii="Century" w:hAnsi="Century"/>
      <w:kern w:val="2"/>
      <w:sz w:val="21"/>
      <w:lang w:eastAsia="ja-JP"/>
    </w:rPr>
  </w:style>
  <w:style w:type="paragraph" w:customStyle="1" w:styleId="af6">
    <w:name w:val="表タイトル"/>
    <w:basedOn w:val="a0"/>
    <w:pPr>
      <w:jc w:val="both"/>
    </w:pPr>
    <w:rPr>
      <w:rFonts w:ascii="Arial" w:hAnsi="Arial"/>
      <w:b/>
      <w:kern w:val="2"/>
      <w:sz w:val="21"/>
      <w:lang w:eastAsia="ja-JP"/>
    </w:rPr>
  </w:style>
  <w:style w:type="paragraph" w:customStyle="1" w:styleId="Bullets">
    <w:name w:val="Bullets"/>
    <w:basedOn w:val="af4"/>
    <w:pPr>
      <w:spacing w:after="120"/>
      <w:ind w:left="283" w:hanging="283"/>
      <w:jc w:val="both"/>
    </w:pPr>
    <w:rPr>
      <w:rFonts w:ascii="Century" w:hAnsi="Century"/>
      <w:kern w:val="2"/>
      <w:sz w:val="21"/>
      <w:lang w:val="de-DE" w:eastAsia="ja-JP"/>
    </w:rPr>
  </w:style>
  <w:style w:type="paragraph" w:customStyle="1" w:styleId="Comment">
    <w:name w:val="Comment"/>
    <w:basedOn w:val="af4"/>
    <w:next w:val="af4"/>
    <w:pPr>
      <w:spacing w:after="120"/>
      <w:jc w:val="both"/>
    </w:pPr>
    <w:rPr>
      <w:rFonts w:ascii="Century" w:hAnsi="Century"/>
      <w:i/>
      <w:kern w:val="2"/>
      <w:sz w:val="21"/>
      <w:lang w:eastAsia="ja-JP"/>
    </w:rPr>
  </w:style>
  <w:style w:type="paragraph" w:customStyle="1" w:styleId="ETSIHeader">
    <w:name w:val="ETSI Header"/>
    <w:basedOn w:val="af4"/>
    <w:pPr>
      <w:tabs>
        <w:tab w:val="right" w:pos="8789"/>
      </w:tabs>
      <w:jc w:val="both"/>
    </w:pPr>
    <w:rPr>
      <w:rFonts w:ascii="Century" w:hAnsi="Century"/>
      <w:b/>
      <w:kern w:val="2"/>
      <w:sz w:val="23"/>
      <w:lang w:eastAsia="ja-JP"/>
    </w:rPr>
  </w:style>
  <w:style w:type="paragraph" w:customStyle="1" w:styleId="Equation">
    <w:name w:val="Equation"/>
    <w:basedOn w:val="af4"/>
    <w:next w:val="af4"/>
    <w:pPr>
      <w:spacing w:before="120" w:after="240"/>
      <w:ind w:left="284" w:right="284"/>
      <w:jc w:val="both"/>
    </w:pPr>
    <w:rPr>
      <w:rFonts w:ascii="Century" w:hAnsi="Century"/>
      <w:kern w:val="2"/>
      <w:sz w:val="21"/>
      <w:lang w:eastAsia="ja-JP"/>
    </w:rPr>
  </w:style>
  <w:style w:type="paragraph" w:customStyle="1" w:styleId="Figure">
    <w:name w:val="Figure"/>
    <w:basedOn w:val="af4"/>
    <w:next w:val="ae"/>
    <w:pPr>
      <w:keepNext/>
      <w:spacing w:before="240" w:after="240"/>
      <w:jc w:val="both"/>
    </w:pPr>
    <w:rPr>
      <w:rFonts w:ascii="Century" w:hAnsi="Century"/>
      <w:kern w:val="2"/>
      <w:sz w:val="21"/>
      <w:lang w:eastAsia="ja-JP"/>
    </w:rPr>
  </w:style>
  <w:style w:type="paragraph" w:customStyle="1" w:styleId="Step">
    <w:name w:val="Step"/>
    <w:basedOn w:val="af4"/>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7">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4"/>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8">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9">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a">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b">
    <w:name w:val="annotation text"/>
    <w:basedOn w:val="a0"/>
    <w:link w:val="afc"/>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e">
    <w:name w:val="annotation reference"/>
    <w:semiHidden/>
    <w:rPr>
      <w:sz w:val="18"/>
    </w:rPr>
  </w:style>
  <w:style w:type="paragraph" w:customStyle="1" w:styleId="headre">
    <w:name w:val="headre"/>
    <w:basedOn w:val="af4"/>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f">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f0">
    <w:name w:val="Block Text"/>
    <w:basedOn w:val="a0"/>
    <w:pPr>
      <w:ind w:left="360" w:right="-360"/>
    </w:pPr>
    <w:rPr>
      <w:i/>
      <w:iCs/>
      <w:color w:val="FF0000"/>
    </w:rPr>
  </w:style>
  <w:style w:type="paragraph" w:styleId="aff1">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f2">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3">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1"/>
    <w:rsid w:val="00120DAA"/>
  </w:style>
  <w:style w:type="character" w:customStyle="1" w:styleId="af">
    <w:name w:val="题注 字符"/>
    <w:aliases w:val="cap 字符,cap Char 字符"/>
    <w:link w:val="ae"/>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5">
    <w:name w:val="annotation subject"/>
    <w:basedOn w:val="afb"/>
    <w:next w:val="afb"/>
    <w:link w:val="aff6"/>
    <w:rsid w:val="00B33310"/>
    <w:pPr>
      <w:widowControl/>
      <w:spacing w:after="180"/>
      <w:jc w:val="left"/>
    </w:pPr>
    <w:rPr>
      <w:rFonts w:ascii="Times New Roman" w:hAnsi="Times New Roman"/>
      <w:b/>
      <w:bCs/>
      <w:kern w:val="0"/>
      <w:sz w:val="20"/>
      <w:lang w:eastAsia="en-US"/>
    </w:rPr>
  </w:style>
  <w:style w:type="character" w:customStyle="1" w:styleId="afc">
    <w:name w:val="批注文字 字符"/>
    <w:link w:val="afb"/>
    <w:uiPriority w:val="99"/>
    <w:semiHidden/>
    <w:rsid w:val="00B33310"/>
    <w:rPr>
      <w:rFonts w:ascii="Century" w:hAnsi="Century"/>
      <w:kern w:val="2"/>
      <w:sz w:val="21"/>
      <w:lang w:val="en-GB" w:eastAsia="ja-JP"/>
    </w:rPr>
  </w:style>
  <w:style w:type="character" w:customStyle="1" w:styleId="aff6">
    <w:name w:val="批注主题 字符"/>
    <w:basedOn w:val="afc"/>
    <w:link w:val="aff5"/>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a7">
    <w:name w:val="页脚 字符"/>
    <w:link w:val="a6"/>
    <w:uiPriority w:val="99"/>
    <w:rsid w:val="00EA0C8C"/>
    <w:rPr>
      <w:rFonts w:ascii="Arial" w:hAnsi="Arial"/>
      <w:b/>
      <w:i/>
      <w:noProof/>
      <w:sz w:val="18"/>
      <w:lang w:val="en-GB" w:eastAsia="en-US"/>
    </w:rPr>
  </w:style>
  <w:style w:type="paragraph" w:styleId="aff7">
    <w:name w:val="Revision"/>
    <w:hidden/>
    <w:uiPriority w:val="99"/>
    <w:semiHidden/>
    <w:rsid w:val="00B3051D"/>
    <w:rPr>
      <w:lang w:val="en-US" w:eastAsia="en-US"/>
    </w:rPr>
  </w:style>
  <w:style w:type="character" w:customStyle="1" w:styleId="20">
    <w:name w:val="标题 2 字符"/>
    <w:aliases w:val="Head2A 字符,2 字符,H2 字符,h2 字符,UNDERRUBRIK 1-2 字符"/>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aff8">
    <w:name w:val="列表段落 字符"/>
    <w:aliases w:val="- Bullets 字符,リスト段落 字符,?? ?? 字符,????? 字符,???? 字符,Lista1 字符,列出段落 字符,中等深浅网格 1 - 着色 21 字符,列出段落1 字符,¥¡¡¡¡ì¬º¥¹¥È¶ÎÂä 字符,ÁÐ³ö¶ÎÂä 字符,¥ê¥¹¥È¶ÎÂä 字符,列表段落1 字符,—ño’i—Ž 字符,1st level - Bullet List Paragraph 字符,Lettre d'introduction 字符,Paragrafo elenco 字符"/>
    <w:link w:val="aff9"/>
    <w:uiPriority w:val="34"/>
    <w:qFormat/>
    <w:locked/>
    <w:rsid w:val="00E331B9"/>
    <w:rPr>
      <w:lang w:eastAsia="en-US"/>
    </w:rPr>
  </w:style>
  <w:style w:type="paragraph" w:styleId="aff9">
    <w:name w:val="List Paragraph"/>
    <w:aliases w:val="- Bullets,リスト段落,?? ??,?????,????,Lista1,列出段落,中等深浅网格 1 - 着色 21,列出段落1,¥¡¡¡¡ì¬º¥¹¥È¶ÎÂä,ÁÐ³ö¶ÎÂä,¥ê¥¹¥È¶ÎÂä,列表段落1,—ño’i—Ž,1st level - Bullet List Paragraph,Lettre d'introduction,Paragrafo elenco,Normal bullet 2,Bullet list,列表段落11,목록단락"/>
    <w:basedOn w:val="a0"/>
    <w:link w:val="aff8"/>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0">
    <w:name w:val="标题 3 字符"/>
    <w:aliases w:val="Underrubrik2 字符,H3 字符,no break 字符,Memo Heading 3 字符"/>
    <w:basedOn w:val="20"/>
    <w:link w:val="3"/>
    <w:rsid w:val="00E22AF9"/>
    <w:rPr>
      <w:rFonts w:ascii="Arial" w:hAnsi="Arial"/>
      <w:sz w:val="28"/>
      <w:lang w:eastAsia="en-US"/>
    </w:rPr>
  </w:style>
  <w:style w:type="character" w:customStyle="1" w:styleId="Style1Char">
    <w:name w:val="Style1 Char"/>
    <w:basedOn w:val="30"/>
    <w:link w:val="Style1"/>
    <w:rsid w:val="00E22AF9"/>
    <w:rPr>
      <w:rFonts w:ascii="Arial" w:hAnsi="Arial"/>
      <w:sz w:val="28"/>
      <w:lang w:eastAsia="en-US"/>
    </w:rPr>
  </w:style>
  <w:style w:type="paragraph" w:customStyle="1" w:styleId="tan0">
    <w:name w:val="tan"/>
    <w:basedOn w:val="a0"/>
    <w:rsid w:val="00C43E82"/>
    <w:pPr>
      <w:widowControl/>
      <w:wordWrap/>
      <w:autoSpaceDE/>
      <w:autoSpaceDN/>
      <w:spacing w:before="100" w:beforeAutospacing="1" w:after="100" w:afterAutospacing="1"/>
    </w:pPr>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0722781">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427">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5473885">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6BD09-3965-4282-B90B-C1ADF8031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1474</Words>
  <Characters>8403</Characters>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2010-04-04T18:18:00Z</cp:lastPrinted>
  <dcterms:created xsi:type="dcterms:W3CDTF">2021-01-13T03:48:00Z</dcterms:created>
  <dcterms:modified xsi:type="dcterms:W3CDTF">2021-01-13T03:49:00Z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